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AC/662/2016 vom 26. September 2016</w:t>
      </w:r>
    </w:p>
    <w:p>
      <w:r>
        <w:t>GE Cour de justice, 2016-09-26, FR</w:t>
      </w:r>
    </w:p>
    <w:p>
      <w:r>
        <w:rPr>
          <w:b/>
        </w:rPr>
        <w:t xml:space="preserve">Quelle: </w:t>
      </w:r>
      <w:r>
        <w:t>https://mcp.opencaselaw.ch/entscheid/ge_gerichte_AC_662_2016</w:t>
      </w:r>
    </w:p>
    <w:p>
      <w:r>
        <w:t>FR: GE_GERICHTE AC/662/2016 du 26 septembre 2016</w:t>
      </w:r>
    </w:p>
    <w:p>
      <w:r>
        <w:t>IT: GE_GERICHTE AC/662/2016 del 26 settembre 2016</w:t>
      </w:r>
    </w:p>
    <w:p>
      <w:pPr>
        <w:pStyle w:val="Heading2"/>
      </w:pPr>
      <w:r>
        <w:t>Regeste</w:t>
      </w:r>
    </w:p>
    <w:p>
      <w:r>
        <w:t>CHANCES DE SUCCÈS; PROTECTION DE L'UNION CONJUGALE | CPC.117; CC.176.1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w:t>
      </w:r>
    </w:p>
    <w:p>
      <w:r>
        <w:t>Le recourant reproche au premier juge d'avoir considéré que les chances de succès de son appel sont extrêmement faibles.![endif]&gt;![if&gt;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Aux termes de l'art. 176 al. 1 ch. 1 et 3 CC, le juge des mesures protectrices fixe la contribution pécuniaire à verser par l'une des parties à l'autre et ordonne les mesures nécessaires d'après les dispositions sur les effets de la filiation lorsqu'il y a des enfants mineurs. Tant que l'union conjugale n'est pas dissoute, les époux conservent, même après leur séparation, un droit égal de conserver leur train de vie antérieur, en application de l'art. 163 CC (arrêt du Tribunal fédéral 5A_515/2008 du 1er décembre 2008). Si les moyens pour assurer le train de vie adopté ou souhaité par le couple manquent, et notamment si les besoins de base ne sont plus couverts, le juge peut, dans certains cas, tenir compte d'un revenu hypothétique supérieur d'un des deux époux, cela étant admissible notamment si un époux a réduit intentionnellement ses revenus de manière infondée ou lorsqu'il ne réalise pas pleinement son potentiel de gain bien que la situation familiale l'exige. Le revenu hypothétique correspond au revenu que l'on peut raisonnablement attendre d'un époux de bonne foi, en tenant compte notamment de son âge, de sa formation, de la durée du mariage, de son état de santé, aussi bien que du marché de l'emploi et de la situation économique générale (Deschenaux/ Steinauer/Baddeley, Les effets du mariage, 2 ème éd., 2009, n. 625). En tout état, la contribution ne doit pas entamer le minimum vital du débirentier (ATF 135 III 66).</w:t>
      </w:r>
    </w:p>
    <w:p>
      <w:r>
        <w:rPr>
          <w:b/>
        </w:rPr>
        <w:t>E. 3.2</w:t>
      </w:r>
    </w:p>
    <w:p>
      <w:r>
        <w:t>En l'espèce, le recourant fait valoir que son appel n'est pas dénué de chances de succès puisqu'il a effectué de nombreuses recherches d'emploi, qu'au vu de son domaine d'activité il éprouve de très importantes diffcultés à trouver du travail malgré ses efforts et qu'il est peu probable qu'il trouve un emploi à brève échéance. Les formulaires intitulés «preuves des recherches personnelles effectuées en vue de trouver un emploi» produits par l'appelant sont irrecevables (cf. ch. 2 supra). Le seraient-elles qu'elles ne prouveraient pas que le recourant a effectué les recherches d'emploi alléguées puisqu'il les a personnellement remplies. Faute de produire les courriers correspondant à ces recherches d'emploi et les éventuelles réponses à ces offres, l'appelant échouera – a priori – à prouver qu'il a effectué les recherches alléguées. En outre, le recourant n'explique pas en quoi la décision du juge des mesures protectrices de l'union conjugale de lui imputer un revenu hypothétique serait critiquable – au vu de son âge de 32 ans, de son bon état de santé et de sa formation – et il ne fait pas valoir que la réalisation d'un tel revenu est impossible, notamment en rendant vraisemblable qu'il existerait une pénurie de postes d'aide comptable sur le marché du travail. À cela s'ajoute que le recourant ne conteste pas être en mesure de retrouver un emploi mais uniquement qu'il ne peut le faire à brève échéance. Or, le Tribunal lui a accordé un délai de six mois qui devrait, à première vue, être suffisant. Par conséquent, compte tenu des faits portés à sa connaissance et des éléments en sa possession, c'est à juste titre que le premier juge a considéré que les chances de succès de l'appel formé par le recourant étaient extrêmement faibles.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26 septembre 2016 par le Vice-président du Tribunal civil dans la cause AC/662/2016. Au fond : Le rejette. Déboute A______ de toutes autres conclusions. Dit qu'il n'est pas perçu de frais judiciaires pour le recours. Notifie une copie de la présente décision à A______ en l'Étude de M e Samir DJAZIRI (art. 137 CPC).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