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AC/654/2015 vom 28. April 2015</w:t>
      </w:r>
    </w:p>
    <w:p>
      <w:r>
        <w:t>GE Cour de justice, 2015-04-28, FR</w:t>
      </w:r>
    </w:p>
    <w:p>
      <w:r>
        <w:rPr>
          <w:b/>
        </w:rPr>
        <w:t xml:space="preserve">Quelle: </w:t>
      </w:r>
      <w:r>
        <w:t>https://mcp.opencaselaw.ch/entscheid/ge_gerichte_AC_654_2015</w:t>
      </w:r>
    </w:p>
    <w:p>
      <w:r>
        <w:t>FR: GE_GERICHTE AC/654/2015 du 28 avril 2015</w:t>
      </w:r>
    </w:p>
    <w:p>
      <w:r>
        <w:t>IT: GE_GERICHTE AC/654/2015 del 28 aprile 2015</w:t>
      </w:r>
    </w:p>
    <w:p>
      <w:pPr>
        <w:pStyle w:val="Heading2"/>
      </w:pPr>
      <w:r>
        <w:t>Regeste</w:t>
      </w:r>
    </w:p>
    <w:p>
      <w:r>
        <w:t>CHANCES DE SUCCÈS; ACTION EN MODIFICATION; DIVORCE</w:t>
      </w:r>
    </w:p>
    <w:p>
      <w:pPr>
        <w:pStyle w:val="Heading2"/>
      </w:pPr>
      <w:r>
        <w:t>Erwägungen</w:t>
      </w:r>
    </w:p>
    <w:p>
      <w:r>
        <w:rPr>
          <w:b/>
        </w:rPr>
        <w:t>E. 1</w:t>
      </w:r>
    </w:p>
    <w:p>
      <w:r>
        <w:t>er novembre 2013, confirmant le jugement pour le surplus. Elle a notamment retenu que la recourante réalisait un salaire mensuel net de 2'987 fr. depuis le 10 octobre 2013 et que son contrat de travail de durée déterminée devrait se prolonger jusqu'en 2015. Les charges des enfants comprenaient les frais d'assurance (177 fr. 30) et les frais de garde et parascolaires (400 fr. environ). d. La liquidation du régime matrimonial des parties fait l'objet d'une procédure devant les autorités du Luxembourg qui est toujours en cours à ce jour. B. a. Le 4 mars 2015, la recourante sollicité l'assistance juridique pour introduire une demande de modification du jugement de divorce par devant le Tribunal de première instance faisant valoir une baisse de ses revenus et une augmentation de ceux du père. Elle désire obtenir une augmentation de la contribution d'entretien versée aux enfants qu'elle estime désormais insuffisante ou, à tout le moins, que le père participe à la moitié des frais extraordinaires des enfants, tels les soins d'orthodontie dont l'un des enfants faits l'objet.![endif]&gt;![if&gt; b. Par courrier du 23 mars 2015, elle a également sollicité l'assistance juridique pour son assignation au Luxembourg dans le cadre de la liquidation du régime matrimonial. c. Par décision du 28 avril 2015, notifiée le 30 du même mois, le Vice-président du Tribunal civil a rejeté la requête d'assistance juridique précitée, au motif que l'action en modification du jugement de divorce envisagée semble dénuée de chances de succès dès lors que la baisse de revenus allégués par la recourante résultait du fait que celle-ci avait repris des études à la fin de son contrat de durée déterminée. La recourante étant de nationalité suisse, francophone, âgée de 39 ans et titulaire d'un diplôme universitaire en histoire avait fait le libre choix, sur lequel elle pouvait revenir, de suivre une formation au lieu d'exploiter sa capacité de gain actuelle. En outre, les documents fournis ne rendaient pas vraisemblable qu'un revenu hypothétique supérieur à celui réalisé puisse être retenu à l'égard de son ex-époux. Par ailleurs, la Convention de La Haye tendant à faciliter l'accès international à la justice du 25 octobre 1980 ne prévoyait pas la prise en charge des coûts de l'assistance judiciaire dans une procédure ayant lieu dans un autre Etat partie à la Convention, de sorte que l'assistance juridique genevoise ne saurait être octroyée pour une procédure au Luxembourg. La demande d'assistance juridique devant les autorités de ce pays se faisait au moyen d'un formulaire que la recourante pouvait remplir sans avoir besoin d'un avocat. C. a. Recours est formé contre cette décision, par acte expédié le 8 mai 2015 à la Présidence de la Cour de justice. La recourante conclut à l'annulation de la décision querellée et à ce que l'assistance juridique lui soit octroyée avec effet au 3 mars 2015.![endif]&gt;![if&gt; La recourante produit des pièces nouvelles. b. Le Vice-président du Tribunal civil a renoncé à formuler des observations. EN DROIT</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 ce qui ne cause aucun préjudice à la recourante puisque celle-ci est en droit de déposer une nouvelle requête d'assistance juridique (arrêt du Tribunal fédéral 5A_336/2007 du 5 octobre 2007 consid. 2.2) en y exposant les faits nouveaux.![endif]&gt;![if&gt; Par conséquent, les allégués de faits et les pièces nouvelles ne seront pas pris en considération.</w:t>
      </w:r>
    </w:p>
    <w:p>
      <w:r>
        <w:rPr>
          <w:b/>
        </w:rPr>
        <w:t>E. 3</w:t>
      </w:r>
    </w:p>
    <w:p>
      <w:r>
        <w:t>3.1.1 Reprenant l'art. 29 al. 3 Cst., l'art. 117 CPC prévoit que toute personne qui ne dispose pas de ressources suffisantes a droit à l'assistance judiciaire à moins que sa cause paraisse dépourvue de toute chance de succès.![endif]&gt;![if&gt;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138 III 217 consid. 2.2.4; 133 III 614 consid. 5; 129 I 129 consid. 2.3.1; ATF 128 I 225 consid. 2.5.3). La situation doit être appréciée à la date du dépôt de la requête et sur la base d'un examen sommaire (ATF 138 III 217 consid. 2.2.4 ; 133 III 614 consid. 5). L'absence de chances de succès peut résulter des faits ou du droit. L'assistance sera refusée s'il apparaît d'emblée que les faits pertinents allégués sont invraisemblables ou ne pourront pas être prouvés (arrêt du Tribunal fédéral 4A_454/2008 du 1 er décembre 2008 consid. 4.2). 3.1.2 Le juge peut ordonner que la contribution d'entretien de l'enfant soit augmentée ou réduite dès que des changements déterminés interviennent dans les besoins de l'enfant, les ressources des père et mère ou le coût de la vie (art. 286 al. 1 CC). Si la situation change notablement, le juge modifie ou supprime la contribution d'entretien à la demande du père, de la mère ou de l'enfant (art. 286 al. 2 CC). Selon la jurisprudence, qui se rapporte essentiellement à la modification de la contribution à l'entretien de l'enfant fixée dans le cadre d'une procédure en divorce, une telle contribution ne peut être modifiée qu'aux conditions de l'art. 286 al. 2 CC, ce qui suppose que des faits nouveaux importants et durables surviennent, qui commandent une réglementation différente. La procédure de modification n'a en effet pas pour but de corriger le premier jugement, mais de l'adapter aux circonstances nouvelles intervenant chez les parents ou l'enfant. Pour déterminer si la situation a notablement changé, au point qu'une autre décision s'impose, il faut examiner dans quelle mesure les capacités financières et les besoins respectifs des parties ont évolué depuis la première décision (ATF 120 II 285 consid. 4b; 120 II 177 consid. 3a; arrêt du Tribunal fédéral 5C.112/2002 du 27 novembre 2002 consid. 6.1; 5C.78/2001 du 24 août 2001 consid. 2a et 2b/bb).</w:t>
      </w:r>
    </w:p>
    <w:p>
      <w:r>
        <w:rPr>
          <w:b/>
        </w:rPr>
        <w:t>E. 3.2</w:t>
      </w:r>
    </w:p>
    <w:p>
      <w:r>
        <w:t>En l'espèce, c'est à juste titre que la recourante fait valoir qu'il n'a pas été tenu compte de sa situation réelle dans l'arrêt de la Cour du Luxembourg. En effet, cette décision retient que la recourante avait une activité lucrative qui se poursuivrait jusqu'en 2015 alors que son contrat de travail avait déjà pris fin. En outre, l'un des enfants a des charges supplémentaires depuis le prononcé du divorce, soit des soins orthodontiques non remboursés par les assurances-maladie. Un examen sommaire de la situation permet donc de retenir qu'il y a a priori eu un changement notable des circonstances depuis le prononcé du jugement de divorce. Ce changement est susceptible d'entraîner une modification du montant des contributions d'entretien dues aux enfants. Par ailleurs, il est vraisemblable qu'eu égard au marché du travail actuel que la recourante peut difficilement exercer un emploi avec sa seule licence d'histoire. Celle-ci devrait être complétée par une formation en enseignement dont il est notoire que les places sont actuellement très limitées de sorte que, sans autre formation, aucun revenu hypothétique ne peut a priori lui être imputé. Au vu de ce qui précède, sur la base d'un examen sommaire, il n'apparait pas a priori que l'action en modification que désire intenter la recourante soit dénuée de chance de succès. Par conséquent, la décision entreprise sera annulée et la cause renvoyée au premier juge pour nouvelle décision après examen de la condition d'indigence.</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le 8 mai 2015 par A______ contre la décision rendue le 28 avril 2015 par le Vice-président du Tribunal civil dans la cause AC/654/2015. Au fond : Admet le recours et annule la décision entreprise. Cela fait : Renvoie la cause au Vice-président du Tribunal civil pour nouvelle décision au sens des considérants.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