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AC/648/2019 vom 21. Februar 2019</w:t>
      </w:r>
    </w:p>
    <w:p>
      <w:r>
        <w:t>GE Cour de justice, 2019-02-21, FR</w:t>
      </w:r>
    </w:p>
    <w:p>
      <w:r>
        <w:rPr>
          <w:b/>
        </w:rPr>
        <w:t xml:space="preserve">Quelle: </w:t>
      </w:r>
      <w:r>
        <w:t>https://mcp.opencaselaw.ch/entscheid/ge_gerichte_AC_648_2019</w:t>
      </w:r>
    </w:p>
    <w:p>
      <w:r>
        <w:t>FR: GE_GERICHTE AC/648/2019 du 21 février 2019</w:t>
      </w:r>
    </w:p>
    <w:p>
      <w:r>
        <w:t>IT: GE_GERICHTE AC/648/2019 del 21 febbraio 2019</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3 et 321 al. 2 CPC;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3.1.2. La fourniture d'un conseil juridique rémunéré par l'Etat suppose la réalisation de trois conditions : une cause non dénuée de chances de succès, l'indigence et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loi mentionne également l'hypothèse où la partie adverse est assistée d'un avocat, accordant ainsi une importance particulière au principe de l'égalité des armes (ATF 120 Ia 217 consid. 1; 119 Ia 134 consid. 4; arrêts du Tribunal fédéral 5A_244/2014 du 25 juin 2014 consid. 4.2.1; 5A_838/2013 du 3 février 2014 consid. 2.4 et la référence citée). De nature formelle, ce principe est enfreint lorsqu'une partie est avantagée, sans qu'il soit nécessaire que son adversaire en subisse effectivement un désavantage ; ainsi, refuser la désignation d'un avocat d'office au motif que le requérant n'aurait pas démontré en quoi il en aurait concrètement besoin pour affronter une adverse partie elle-même assistée violerait le droit fédéral (arrêt du Tribunal fédéral 5A_244/2014 précité consid. 4.2.1 et la référence citée).</w:t>
      </w:r>
    </w:p>
    <w:p>
      <w:r>
        <w:rPr>
          <w:b/>
        </w:rPr>
        <w:t>E. 3.2</w:t>
      </w:r>
    </w:p>
    <w:p>
      <w:r>
        <w:t>En l'espèce, la procédure pendante devant le TPAE, qui est régie par la maxime d'office, ne semble pas poser de difficultés telles que l'assistance d'un avocat soit nécessaire. En effet, sur le plan factuel, le TPAE pourra procéder à toutes les mesures probatoires utiles pour établir les faits pertinents, notamment en auditionnant - comme il l'a requis - les parents et les curateurs. Quant aux questions juridiques à résoudre, qui sont limitées à l'exercice du droit de visite, elles ne nécessitent pas de connaissances supérieures à celles du recourant, qui vit à Genève depuis près de 20 ans et qui a déjà participé à des procédures similaires en 2016 et 2018. Cela étant, dans la mesure où la mère de l'enfant est représentée par un avocat pour ladite procédure, le principe de l'égalité des armes commande que le recourant le soit également. Un justiciable raisonnable et de bonne foi, présentant les mêmes caractéristiques que le recourant, aurait, en effet, dans la mesure utile, fait appel à un avocat afin de ne pas être prétérité par la position de son adverse partie, dûment conseillée pour le litige. La décision querellée sera par conséquent annulée et la cause renvoyée à l'Autorité de première instance pour instruction complémentaire sur la condition d'indigence, puis nouvelle décision.</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le 7 mars 2019 par A______ contre la décision rendue le 21 février 2019 par le Vice-président du Tribunal civil dans la cause AC/648/2019. Au fond : Annule la décision entreprise. Cela fait : Renvoie la cause au Vice-président du Tribunal civil pour instruction complémentaire et nouvelle décision. Déboute A______ de toutes autres conclusions. Dit qu'il n'est pas perçu de frais judiciaires pour le recours, ni alloué de dépens. Notifie une copie de la présente décision à A______ en l'étude de Me Pierre-Bernard PETITAT (art. 137 CPC). Siégeant : Monsieur Patrick CHENAUX, Vice-président; Madame Maïté VALENTE,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