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AC/623/2018 vom 13. Mai 2019</w:t>
      </w:r>
    </w:p>
    <w:p>
      <w:r>
        <w:t>GE Cour de justice, 2019-05-13, FR</w:t>
      </w:r>
    </w:p>
    <w:p>
      <w:r>
        <w:rPr>
          <w:b/>
        </w:rPr>
        <w:t xml:space="preserve">Quelle: </w:t>
      </w:r>
      <w:r>
        <w:t>https://mcp.opencaselaw.ch/entscheid/ge_gerichte_AC_623_2018</w:t>
      </w:r>
    </w:p>
    <w:p>
      <w:r>
        <w:t>FR: GE_GERICHTE AC/623/2018 du 13 mai 2019</w:t>
      </w:r>
    </w:p>
    <w:p>
      <w:r>
        <w:t>IT: GE_GERICHTE AC/623/2018 del 13 maggio 2019</w:t>
      </w:r>
    </w:p>
    <w:p>
      <w:pPr>
        <w:pStyle w:val="Heading2"/>
      </w:pPr>
      <w:r>
        <w:t>Regeste</w:t>
      </w:r>
    </w:p>
    <w:p>
      <w:r>
        <w:t>ASSISTANCE JUDICIAIRE;CHANCES DE SUCCÈS;RÉVISION(DÉCISION)</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Aux termes de l'art. 326 al. 1 CPC, les allégations de fait et les preuves nouvelles sont irrecevables dans le cadre d'un recours. Par conséquent, les allégués de fait dont la recourante n'a pas fait état en première instance et les pièces nouvelles ne seront pas pris en considération.</w:t>
      </w:r>
    </w:p>
    <w:p>
      <w:r>
        <w:rPr>
          <w:b/>
        </w:rPr>
        <w:t>E. 2.1.1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en cause, en l'occurrence celle rendue en seconde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Le délai pour demander la révision est de 90 jours à compter de celui où le motif de révision est découvert; la demande est écrite et motivée (art. 329 al. 1 CPC).</w:t>
      </w:r>
    </w:p>
    <w:p>
      <w:r>
        <w:rPr>
          <w:b/>
        </w:rPr>
        <w:t>E. 2.2</w:t>
      </w:r>
    </w:p>
    <w:p>
      <w:r>
        <w:t>En l'espèce, la Cour, dans son arrêt du 27 novembre 2018, a considéré que l'ex-époux percevait des revenus mensuels de l'ordre de 40'000 fr. à 54'000 fr., de sorte qu'il était en tout état de cause en mesure d'assumer la contribution mensuelle d'entretien de la recourante. Ensuite, la Cour a estimé que ladite contribution mensuelle d'entretien était en outre suffisamment garantie par le patrimoine immobilier de l'ex-époux (trois biens immobiliers situés à Genève et deux résidences secondaires à l'étranger) et le produit de la vente de l'appartement de la rue ______ (GE). Dans un premier grief, la recourante reproche au Vice-président d'avoir omis de considérer que son ex-époux avait vendu l'immeuble situé à l'avenue ______ par l'intermédiaire de C______ SA, elle-même détenue par une holding dont il est l'unique actionnaire. Cet argument n'est pas pertinent parce que la Cour n'avait pas inclus cet immeuble dans la fortune immobilière de l'ex-époux. Elle fait également valoir la vente de la résidence secondaire à D______ (France), laquelle avait été prise en compte dans le patrimoine immobilier de l'ex-époux. Il est vrai que ce dernier n'a porté cette vente ni à la connaissance du Tribunal ni à celle de la Cour. Il n'en demeure pas moins que ce fait ne paraît guère pertinent à l'appui de la demande en révision. En effet, la fortune de l'ex-époux n'a pas diminué puisqu'il a perçu en contrepartie le prix de vente 662'925 euros. De plus, il est resté propriétaire des trois immeubles sis à Genève et d'une résidence secondaire située en Bulgarie, et est demeuré a priori détenteur de la somme de 3'000'000 fr. issue de la vente de l'appartement de la rue du ______ (GE). La contribution mensuelle d'entretien de la recourante apparaît dès lors suffisamment garantie par les revenus et la fortune de l'ex-époux, nonobstant le changement intervenu dans la composition de celle-ci. Enfin, la recourante expose que les trois immeubles de l'ex-époux sis à Genève sont sur-hypothéqués et que la résidence de Bulgarie ne vaudrait que 30'000 euros selon l'estimation de son ex-époux. Ces faits ne sont pas nouveaux et la recourante les avait évoqués dans son appel formé à l'encontre du jugement du Tribunal du 10 janvier 2018. Elle n'explique pas les raisons pour lesquelles elle a renoncé à recourir à l'encontre de l'arrêt de la Cour du 27 novembre 2018 afin que ceux-ci soient pris en considération. Il résulte de ce qui précède que la demande en révision de la recourante formée le 29 mars 2019 paraît dépourvue de chances de succès. Le Vice-président ayant correctement exercé son pouvoir d'appréciation, le recours à l'encontre de sa décision du 13 mai 2019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 PAR CES MOTIFS, LE VICE-PRESIDENT DE LA COUR : A la forme : Déclare recevable le recours formé par A______ contre la décision rendue le 13 mai 2019 par le Vice-président du Tribunal civil dans la cause AC/623/2018. Au fond : Le rejette. Déboute A______ de toutes autres conclusions. Dit qu'il n'est pas perçu de frais judiciaires pour le recours, ni alloué de dépens. Notifie une copie de la présente décision à A______ en l'Etude de M e Monica KOHLER (art. 137 CPC).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