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AC/593/2019 vom 14. Juli 2020</w:t>
      </w:r>
    </w:p>
    <w:p>
      <w:r>
        <w:t>GE Cour de justice, 2020-07-14, FR</w:t>
      </w:r>
    </w:p>
    <w:p>
      <w:r>
        <w:rPr>
          <w:b/>
        </w:rPr>
        <w:t xml:space="preserve">Quelle: </w:t>
      </w:r>
      <w:r>
        <w:t>https://mcp.opencaselaw.ch/entscheid/ge_gerichte_AC_593_2019</w:t>
      </w:r>
    </w:p>
    <w:p>
      <w:r>
        <w:t>FR: GE_GERICHTE AC/593/2019 du 14 juillet 2020</w:t>
      </w:r>
    </w:p>
    <w:p>
      <w:r>
        <w:t>IT: GE_GERICHTE AC/593/2019 del 14 luglio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1.4</w:t>
      </w:r>
    </w:p>
    <w:p>
      <w:r>
        <w:t>Compte tenu de l'issue du litige, il ne se justifie pas de procéder à l'audition de la recourante, que cette dernière ne sollicite au demeurant pas (art. 10 al. 3 LPA; arrêt du Tribunal fédéral 2D_73/2015 du 30 juin 2016 consid. 4.2).</w:t>
      </w:r>
    </w:p>
    <w:p>
      <w:r>
        <w:rPr>
          <w:b/>
        </w:rPr>
        <w:t>E. 2.1</w:t>
      </w:r>
    </w:p>
    <w:p>
      <w:r>
        <w:t>D'après l'art. 123 al. 1 CPC, applicable par renvoi de l'art. 8 al. 3 RAJ et 10 al. 4 LPA, une partie est tenue de rembourser l'assistance juridique dès qu'elle est en mesure de le faire, notamment en raison de l'évolution favorable de ses revenus ou de sa fortune (Message du Conseil fédéral du 28 juin 2006 relatif au code de procédure civile suisse [CPC], FF 2006 p. 6986 ss, p. 6915). L'art. 19 al. 3 RAJ précise que si la situation de la personne bénéficiaire s'est améliorée ou si elle est de toute manière en mesure d'effectuer un paiement, le paiement de l'intégralité des prestations de l'Etat peut être exigé. La capacité du bénéficiaire de l'assistance juridique de rembourser tout ou partie des prestations effectuées par l'Etat doit être appréciée selon les mêmes critères que l'indigence au sens de l'art. 117 let. a CPC. Un remboursement peut ainsi être exigé lorsque, et dans la mesure où, la situation du bénéficiaire s'est améliorée depuis la décision d'octroi de l'assistance judiciaire de manière à ce que l'on puisse attendre de sa part qu'il s'acquitte, serait-ce partiellement ou par acomptes, du montant de l'assistance fournie (Wuffli/Fuhrer, Handbuch unentgeltliche Rechtspflege im Zivilprozess, 2019, p. 362 n. 1039 ; Huber, in Schweizerische Zivilprozessordnung [ZPO], Kommentar, Brunner/Gasser/Schwander [éd.], 2e éd. 2016, n. 8 ad art. 123 CPC; Bühler, in Commentaire bernois, Schweizerische Zivilprozessordnung [ZPO], vol I, 2012, n. 7 ad art. 123 CPC).</w:t>
      </w:r>
    </w:p>
    <w:p>
      <w:r>
        <w:rPr>
          <w:b/>
        </w:rPr>
        <w:t>E. 2.2</w:t>
      </w:r>
    </w:p>
    <w:p>
      <w:r>
        <w:t>En l'espèce, à l'exception du montant retenu à titre de frais de transport, l'autorité de première instance a correctement apprécié la situation financière de la recourante avant de la condamner à rembourser une partie de la somme versée à son conseil juridique au terme de la procédure administrative. C'est en effet à juste titre que la Vice-présidente du Tribunal de première instance a mensualisé le treizième salaire perçu par la recourante afin de calculer ses revenus, ce bien que la somme y relative ne lui soit versée dans les faits que deux fois par année. C'est en outre sur la base des pièces produites par la recourante et des indications fournies par cette dernière que l'autorité de première instance a retenu que la recourante et son fils bénéficiaient d'un subside à 100% de l'assurance-maladie, que la rente de veuve et d'orphelin se montait à 1'896 fr. par mois et les frais d'écolage de l'enfant à 243 fr. 35 par mois, et que la recourante aidait financièrement sa mère à hauteur de 230 fr. par mois. Il s'ensuit que ces montants ont été correctement intégrés dans les charges admissibles de la famille. En ce qui concerne les frais de transport, s'il est vrai qu'un montant de 70 fr. par mois aurait dû être pris en compte pour le fils de la recourante dès lors que celui-ci n'est pas bénéficiaire de prestations complémentaires de sorte que le tarif préférentiel de 66 fr. par année ne s'applique pas en ce qui le concerne, cet élément ne porte pas à conséquence sur la solution retenue. En effet, après correction de cette charge, le disponible du ménage dépasse de 601 fr. 95 le minimum vital élargi (5'042 fr. de revenus - 4'440 fr. 05 de charges dont 5 fr. 50 pour les frais de transport de la recourante et 70 fr. pour les frais de transport de son fils), montant qui apparaît suffisant pour permettre à la recourante de rembourser, au besoin par mensualités, la moitié (environ) de la somme avancée par l'Etat de Genève. Ce d'autant plus que l'autorité de première instance n'a pas pris en compte les revenus perçus par la recourante pour les traductions ponctuelles effectuées sur appel, de sorte que son disponible mensuel est en réalité plus élevé. Il s'ensuit que la Vice-présidente du Tribunal de première instance n'a pas violé la loi en condamnant l'appelante au remboursement d'un montant de 5'000 fr.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21 juillet 2020 par A______ contre la décision rendue le 14 juillet 2020 par la Vice-présidente du Tribunal de première instance dans la cause AC/593/2019.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 la présente décision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