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AC/588/2018 vom 27. Februar 2018</w:t>
      </w:r>
    </w:p>
    <w:p>
      <w:r>
        <w:t>GE Cour de justice, 2018-02-27, FR</w:t>
      </w:r>
    </w:p>
    <w:p>
      <w:r>
        <w:rPr>
          <w:b/>
        </w:rPr>
        <w:t xml:space="preserve">Quelle: </w:t>
      </w:r>
      <w:r>
        <w:t>https://mcp.opencaselaw.ch/entscheid/ge_gerichte_AC_588_2018</w:t>
      </w:r>
    </w:p>
    <w:p>
      <w:r>
        <w:t>FR: GE_GERICHTE AC/588/2018 du 27 février 2018</w:t>
      </w:r>
    </w:p>
    <w:p>
      <w:r>
        <w:t>IT: GE_GERICHTE AC/588/2018 del 27 febbraio 2018</w:t>
      </w:r>
    </w:p>
    <w:p>
      <w:pPr>
        <w:pStyle w:val="Heading2"/>
      </w:pPr>
      <w:r>
        <w:t>Regeste</w:t>
      </w:r>
    </w:p>
    <w:p>
      <w:r>
        <w:t>DÉNUEMENT ; RÉSERVE(SENS GÉNÉRAL)</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L'Etat ne peut toutefois exiger du requérant qu'il utilise ses économies, lorsque celles-ci constituent sa " réserve de secours ", laquelle s'apprécie en fonction des besoins futurs de l'indigent selon les circonstances concrètes de l'espèce, telles que son état de santé et son âge (arrêt du Tribunal fédéral 9C_112/2014 du 19 mars 2014). La " réserve de secours "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assurance-vie ( DAAJ/14/2013 ; Donzallaz, Loi sur le Tribunal fédéral : commentaire, Berne 2008, n. 1815 ad art. 64 LTF).</w:t>
      </w:r>
    </w:p>
    <w:p>
      <w:r>
        <w:rPr>
          <w:b/>
        </w:rPr>
        <w:t>E. 3.2</w:t>
      </w:r>
    </w:p>
    <w:p>
      <w:r>
        <w:t>En l'espèce, le Vice-président du Tribunal civil aurait dû examiner la situation financière globale du recourant. Ensuite, il ne pouvait pas considérer que les sommes déposées sur le compte postal du recourant lui permettaient d'assumer l'avance de frais demandée par le Tribunal administratif de première instance sans examiner dans quelle mesure ces sommes représentaient sa réserve de secours, puisque ce dernier est âgé, invalide et avait été exonéré en 2017 de l'impôt sur le revenu et de la taxe d'habitation par la Direction générale française des finances publiques. Par conséquent, la décision querellée sera annulée et la cause sera renvoyée au Vice-président du Tribunal civil pour nouvelle décision. 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27 février 2018 par le Vice-président du Tribunal civil dans la cause AC/588/2018. Au fond :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Madame Fatina SCHAERER, greffière. Le vice-président : Patrick CHENAUX La greffière : Fatina SCHAERER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