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AC/587/2014 vom 25. September 2020</w:t>
      </w:r>
    </w:p>
    <w:p>
      <w:r>
        <w:t>GE Cour de justice, 2020-09-25, FR</w:t>
      </w:r>
    </w:p>
    <w:p>
      <w:r>
        <w:rPr>
          <w:b/>
        </w:rPr>
        <w:t xml:space="preserve">Quelle: </w:t>
      </w:r>
      <w:r>
        <w:t>https://mcp.opencaselaw.ch/entscheid/ge_gerichte_AC_587_2014</w:t>
      </w:r>
    </w:p>
    <w:p>
      <w:r>
        <w:t>FR: GE_GERICHTE AC/587/2014 du 25 septembre 2020</w:t>
      </w:r>
    </w:p>
    <w:p>
      <w:r>
        <w:t>IT: GE_GERICHTE AC/587/2014 del 25 settembre 2020</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2020, n. 2513-2515, p. 453).</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w:t>
      </w:r>
    </w:p>
    <w:p>
      <w:r>
        <w:t>3.1. 3.1.1 D'après les art. 123 al. 1 CPC et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 3.1.2 En procédure civile, les citations, ordonnances, décisions et actes des parties sont notifiés par envoi recommandé ou d'une autre manière contre accusé de réception (art. 138 al. 1 CPC). L'acte est réputé notifié lorsqu'il a été remis au destinataire, à un de ses employés ou à une personne de seize ans au moins vivant dans le même ménage (art. 138 al. 2 CPC). 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 Lorsque la partie est représentée, les actes sont notifiés à son représentant (art. 137 CPC). Celui-ci est en principe le mieux à même de saisir la portée des communications judiciaires et de transmettre ensuite les informations nécessaires à son mandant (Bohnet, in Commentaire romand, Code de procédure civile, 2ème éd. 2019, n. 3 ad art. 137 CPC). En cas de représentation par un avocat, l'adresse professionnelle de celui-ci constitue toujours un domicile de notification (ATF 144 IV 64 consid. 2.5; 143 III 28 consid. 2.2.1; arrêt du Tribunal fédéral 5A_512/2018 du 26 septembre 2018 consid. 3.4.1.1).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 Il est un principe général de l'Etat de droit qu'une partie ne saurait subir aucun préjudice du fait d'une communication irrégulière. Il en découle aussi que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(art. 52 CPC), qui fixent une limite à l'invocation d'un vice de forme, sont décisives (arrêt du Tribunal fédéral 5A_476/2017 du 11 septembre 2017 consid. 5.1.2 et les références citées).</w:t>
      </w:r>
    </w:p>
    <w:p>
      <w:r>
        <w:rPr>
          <w:b/>
        </w:rPr>
        <w:t>E. 3.2</w:t>
      </w:r>
    </w:p>
    <w:p>
      <w:r>
        <w:t>En l'espèce, l'autorité de première instance a présumé que la recourante était en mesure de rembourser l'intégralité des prestations fournies par l'Etat, car elle n'avait pas répondu au courrier du greffe de l'assistance juridique du 21 août 2020 l'invitant à actualiser sa situation financière et l'informant des conséquences de son silence. Il appert cependant que ce courrier a été adressé directement à la recourante et non à son conseil. Or, il ne fait aucun doute que l'existence d'un rapport de représentation avait été portée à la connaissance de l'autorité de première instance, puisque le remboursement porte expressément sur le montant versé à l'avocate de la recourante à l'issue de la procédure pour l'activité déployée en sa faveur. Il s'ensuit que la notification du courrier du greffe de l'assistance juridique du 21 août 2020 n'est pas intervenue de manière régulière et que l'autorité intimée ne pouvait tirer aucune conséquence juridique de l'absence de réaction de la recourante. La décision querellée sera dès lors annulée et la cause renvoyée à l'Autorité de première instance, à laquelle il incombera de rendre une nouvelle décision après avoir donné à la recourante l'opportunité de s'exprimer sur l'évolution de sa situation financière. Il n'y a pas lieu, en conséquence, de statuer sur l'effet suspensif sollicité. Pour le surplus, l'instance de recours n'est pas compétente pour statuer sur la requête d'assistance juridique formée par la recourante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la recourante n'en sollicitant pas. * * * * * PAR CES MOTIFS, LE VICE-PRÉSIDENT DE LA COUR : A la forme : Déclare recevable le recours formé le 9 octobre 2020 par A______ contre la décision rendue le 25 septembre 2020 par la Vice-présidente du Tribunal de première instance dans la cause AC/587/2014. Au fond : Annule la décision entreprise. Renvoie la cause à la Vice-présidente du Tribunal de première instance pour instruction complémentaire et nouvelle décision.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