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AC/569/2010 vom 2. April 2014</w:t>
      </w:r>
    </w:p>
    <w:p>
      <w:r>
        <w:t>GE Cour de justice, 2014-04-02, FR</w:t>
      </w:r>
    </w:p>
    <w:p>
      <w:r>
        <w:rPr>
          <w:b/>
        </w:rPr>
        <w:t xml:space="preserve">Quelle: </w:t>
      </w:r>
      <w:r>
        <w:t>https://mcp.opencaselaw.ch/entscheid/ge_gerichte_AC_569_2010</w:t>
      </w:r>
    </w:p>
    <w:p>
      <w:r>
        <w:t>FR: GE_GERICHTE AC/569/2010 du 2 avril 2014</w:t>
      </w:r>
    </w:p>
    <w:p>
      <w:r>
        <w:t>IT: GE_GERICHTE AC/569/2010 del 2 aprile 2014</w:t>
      </w:r>
    </w:p>
    <w:p>
      <w:pPr>
        <w:pStyle w:val="Heading2"/>
      </w:pPr>
      <w:r>
        <w:t>Regeste</w:t>
      </w:r>
    </w:p>
    <w:p>
      <w:r>
        <w:t>RÉVOCATION(EN GÉNÉRAL) | CPC.404.1; aRAJ.13.B; aRAJ.14; aRAJ.22</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404).![endif]&gt;![if&gt;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2.2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3.1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3.2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3.3</w:t>
      </w:r>
    </w:p>
    <w:p>
      <w:r>
        <w:t>En l'espèce, les réquisits formels ont été respectés, puisque le greffe de l'Assistance juridique a informé le recourant, par courrier du 6 août 2013, qu'une révocation de l'assistance juridique était envisagée et le recourant a eu l'occasion de se déterminer à plusieurs reprises sur cette question. Cela étant, le recourant a allégué, en première instance déjà, avoir versé des honoraires à son conseil, correspondant à plus de 20 heures d'activité. L'Autorité de première instance ne pouvait dès lors condamner le recourant au remboursement de l'indemnisation pour l'activité déployée par le conseil précité, sous déduction des paiements anticipés qu'il avait effectués, sans avoir préalablement élucidé si les montants versés par le recourant à son conseil concernaient, ou non, l'activité pour laquelle l'assistance juridique avait été accordée. Au vu de ce qui précède, le recours est admis. Il s'ensuit que la décision entreprise est annulée et la cause renvoyée à l'Autorité de première instance aux fins d'instruire sur la question de savoir si le recourant a versé un éventuel montant à titre d'honoraires directement à son ancien conseil, qui ferait double emploi avec les prestations de l'Assistance juridique.</w:t>
      </w:r>
    </w:p>
    <w:p>
      <w:r>
        <w:rPr>
          <w:b/>
        </w:rPr>
        <w:t>E. 4</w:t>
      </w:r>
    </w:p>
    <w:p>
      <w:r>
        <w:t>Sauf exceptions non réalisées en l'espèce, il n'est pas perçu de frais judiciaires pour la procédure d'assistance juridique (art. 119 al. 6 CPC). PAR CES MOTIFS, LA VICE-PRÉSIDENTE DE LA COUR : À la forme : Déclare recevable le recours formé par A______ contre la décision rendue le 2 avril 2014 par le Vice-président du Tribunal civil dans la cause AC/569/2010. Au fond : Admet le recours et annule la décision entreprise. Cela fait : Renvoie la cause au Vice-président du Tribunal civil pour instruction complémentaire au sens des considérants et nouvelle décision.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