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AC/565/2017 vom 7. März 2017</w:t>
      </w:r>
    </w:p>
    <w:p>
      <w:r>
        <w:t>GE Cour de justice, 2017-03-07, FR</w:t>
      </w:r>
    </w:p>
    <w:p>
      <w:r>
        <w:rPr>
          <w:b/>
        </w:rPr>
        <w:t xml:space="preserve">Quelle: </w:t>
      </w:r>
      <w:r>
        <w:t>https://mcp.opencaselaw.ch/entscheid/ge_gerichte_AC_565_2017</w:t>
      </w:r>
    </w:p>
    <w:p>
      <w:r>
        <w:t>FR: GE_GERICHTE AC/565/2017 du 7 mars 2017</w:t>
      </w:r>
    </w:p>
    <w:p>
      <w:r>
        <w:t>IT: GE_GERICHTE AC/565/2017 del 7 marzo 2017</w:t>
      </w:r>
    </w:p>
    <w:p>
      <w:pPr>
        <w:pStyle w:val="Heading2"/>
      </w:pPr>
      <w:r>
        <w:t>Regeste</w:t>
      </w:r>
    </w:p>
    <w:p>
      <w:r>
        <w:t>ACTION EN RÉDUCTION ; CHANCES DE SUCCÈS</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Le recourant reproche à la Vice-présidente du Tribunal civil d’avoir considéré que les chances de succès de son action étaient extrêmement faibles.</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in JdT 2006 IV p. 47).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Aux termes de l'art. 522 al. 1 CC, les héritiers qui ne reçoivent pas le montant de leur réserve – qui est, pour un descendant, des trois quarts de son droit de succession (art. 471 ch. 1 CC) – ont l'action en réduction jusqu'à due concurrence contre les libéralités qui excèdent la quotité disponible. Sont notamment sujettes à réduction les donations que le disposant pouvait librement révoquer et celles qui sont exécutées dans les cinq années antérieures à son décès, les présents d'usage exceptés (art. 527 ch. 3 CC). Lorsque la libéralité attaquée a déjà été exécutée, la seule réduction ne suffira pas à reconstituer la réserve. L'héritier réservataire pourra alors, s'il le souhaite, compléter l'action en réduction par une action en restitution, de nature personnelle et condamnatoire (ATF 115 II 211 consid. 4; 110 II 228 consid. 7c, in JdT 1985 I p. 626; 102 II 329 consid. 2a, in JdT 1977 I p. 322; Forni/Piatti, in Basler Kommentar, Zivilgesetzbuch II, 4e éd. 2011, n. 6 ad art. 528 CC; Tuor/Schnyder/jungo, in ZGB, Das schweizerische Zivilgesetzbuch, Tuor/Schnyder/Schmid/jungo [éd.], 14e éd. 2015, § 69 n. 49; Guinand/Stettler/leuba, Droit des successions, 6e éd. 2005, n. 151; Steinauer, Le droit des successions, 2e éd. 2015, p. 419 s. n. 791-795).</w:t>
      </w:r>
    </w:p>
    <w:p>
      <w:r>
        <w:rPr>
          <w:b/>
        </w:rPr>
        <w:t>E. 2.3</w:t>
      </w:r>
    </w:p>
    <w:p>
      <w:r>
        <w:t>En l'espèce, le recourant soutient que ses frères se sont engagés tacitement, lors des pourparlers précédant la cession de l'entreprise, à assurer un logement gratuit à leurs parents, engagement qui avait été confirmé par actes concluants, dès lors que les époux ne s'étaient jamais acquittés d'un quelconque loyer pour la maison dans laquelle ils ont résidé pendant des décennies. Les explications du recourant à ce sujet paraissent, prima facie , convaincantes. En effet, il ressort du dossier que le défunt père du recourant s'est acquitté d'un loyer mensuel de 1'000 fr. d'avril 2012 à octobre 2013 en mains d'une société appartenant à son fils aîné, alors qu'il n'avait jamais versé un quelconque loyer pour son logement auparavant, à tout le moins jusqu'en mai 2009, car son fils aîné – devenu propriétaire de sa maison – ne lui avait jamais rien réclamé jusqu'à cette date et s'était, en outre, acquitté des charges (chauffage, eau, électricité, téléphone). Il apparaît en outre vraisemblable que les parties au pacte successoral aient évoqué l'idée d'assurer un logement gratuit aux époux – bien que cela ne ressorte pas expressément de l'acte notarié –, dès lors que l'habitation litigieuse était attenante au garage dont les actions ont été cédés aux frères du recourant. L'insatisfaction exprimée par le défunt père du recourant en novembre 2012 quant à sa situation et son déménagement, de même que sa volonté d'intégrer un EMS et le document dactylographié produit constituent également des indices en faveur de la thèse soutenue par le recourant. La demande du recourant en restitution de la somme de 19'000 fr. à l'encontre d'une société détenue et gérée par son frère aîné (et sa famille), n'est ainsi pas, prima facie , dénuée de chances de succès. Partant, le recours sera admis et la décision querellée annulée. La condition de l'indigence paraissant réalisée, au vu de l'octroi de l'aide étatique au recourant au mois d'octobre 2016, la demande d'assistance juridique sollicitée sera octroyée, avec effet au 21 février 2017, date du dépôt de la demande.</w:t>
      </w:r>
    </w:p>
    <w:p>
      <w:r>
        <w:rPr>
          <w:b/>
        </w:rPr>
        <w:t>E. 3</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7 mars 2017 par la Vice-présidente du Tribunal civil dans la cause AC/565/2017. Au fond : Admet le recours et annule la décision entreprise. Cela fait et statuant à nouveau : Octroie le bénéfice de l'assistance juridique à A______ pour l'action intentée contre H______, cause C/26177/2016, avec effet au 21 février 2017.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