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AC/555/2021 vom 26. Oktober 2021</w:t>
      </w:r>
    </w:p>
    <w:p>
      <w:r>
        <w:t>GE Cour de justice, 2021-10-26, FR</w:t>
      </w:r>
    </w:p>
    <w:p>
      <w:r>
        <w:rPr>
          <w:b/>
        </w:rPr>
        <w:t xml:space="preserve">Quelle: </w:t>
      </w:r>
      <w:r>
        <w:t>https://mcp.opencaselaw.ch/entscheid/ge_gerichte_AC_555_2021</w:t>
      </w:r>
    </w:p>
    <w:p>
      <w:r>
        <w:t>FR: GE_GERICHTE AC/555/2021 du 26 octobre 2021</w:t>
      </w:r>
    </w:p>
    <w:p>
      <w:r>
        <w:t>IT: GE_GERICHTE AC/555/2021 del 26 ottobre 2021</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 La détermination spontanée de la recourante du 24 février 2022 est toutefois irrecevable, puisqu'elle a été expédiée plus de deux mois après que la cause a été gardée à juger.</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2.1</w:t>
      </w:r>
    </w:p>
    <w:p>
      <w:r>
        <w:t>A teneur de l'art. 326 al. 1 CPC, les conclusions et les allégations de faits nouvelles sont irrecevables dans le cadre d'une procédure de recours. ![endif]&gt;![if&gt; Cela étant, le régime de l'art. 326 al. 1 CPC doit être calqué sur celui de l'art. 99 al. 1 LTF – dont la teneur est la suivante : "Aucun fait nouveau ni preuve nouvelle ne peut être présenté à moins de résulter de la décision de l'autorité précédente" –, afin d'empêcher que la présentation des faits et preuves nouveaux soit soumise à une réglementation plus rigoureuse devant l'autorité cantonale que devant le Tribunal fédéral (ATF 139 III 466 consid. 3; JEANDIN, in CR CPC, 2 ème éd. 2019,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déterminants pour la recevabilité du recours (par ex. la date de notification de la décision attaquée; arrêt du Tribunal fédéral 5A_904/2015 du 29 septembre 2016 consid. 2.3). Les faits notoires sont soustraits à l'interdiction des nova ( 5A_719/2018 du 12 avril 2019 consid. 3.2.3).</w:t>
      </w:r>
    </w:p>
    <w:p>
      <w:r>
        <w:rPr>
          <w:b/>
        </w:rPr>
        <w:t>E. 2.2</w:t>
      </w:r>
    </w:p>
    <w:p>
      <w:r>
        <w:t>En l'occurrence, au regard des principes rappelés ci-dessus, la pièce produite par la recourante pour prouver la date à laquelle la décision entreprise lui a été notifiée est recevable. Les deux autres pièces, l'une illustrant le mécanisme de coopération administrative contre la traite d'êtres humains et l'autre comportant un schéma définissant le rôle des autorités et des acteurs concernés avec l'indication des bases légales idoines, sont également recevables, puisque les indications qu'elles contiennent constituent des faits notoires.</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S'agissant de l'assistance judiciaire requise dans le cadre d'une procédure administrative, l'art. 10 al. 2 LPA prévoit que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peut être refusée si les prétentions ou les moyens sont manifestement mal fondés. A propos de cette disposition, la doctrine indique que le greffe dirigé par le président du Tribunal civil est chargé d'instruire les requête d'assistance juridique, conformément aux dispositions du CPC (art. 8 al. 1 et 3 RAJ). La jurisprudence en a déduit que le CPC s'appliquait à titre de droit supplétif (arrêts du Tribunal fédéral 2D_73/2015 du 30 juin 2016 consid. 5.1; 1B_171/2011 du 15 juin 2011 consid. 2.2. in SJ 2011 I 489), et ce y compris au stade du recours, en particulier s'agissant du pouvoir d'examen de l'autorité de recours, dès lors limité au droit (art. 320 CPC vs art. 61 LPA; arrêt du Tribunal fédéral 2D_3/2016 du 24 mars 2016 consid. 5). L'examen des chances de succès auquel l'autorité doit procéder est sommaire (arrêt du Tribunal fédéral 2D_3/2016 du 24 mars 2016 consid. 5). Si l'art. 10 al. 2 LPA retient que l'assistance judiciaire peut être refusée si les prétentions de l'administré sont « manifestement mal fondées », on ne saurait y voir une garantie plus étendue allant au-delà de l'art. 29 al. 3 Cst., une telle volonté ne ressortant nullement des travaux préparatoires (cf. MGC 2008-2009/XII A 16106) (GRODECKI/JORDAN, Code annoté de procédure administrative genevoise, Berne 2017, n. 159 et 164 ad art. 10 LPA).</w:t>
      </w:r>
    </w:p>
    <w:p>
      <w:r>
        <w:rPr>
          <w:b/>
        </w:rPr>
        <w:t>E. 3.3</w:t>
      </w:r>
    </w:p>
    <w:p>
      <w:r>
        <w:t>En l'espèce et en application de la doctrine précitée, basée sur les travaux préparatoires de l'art. 10 al. 2 LPA, il convient de retenir que la LPA ne prévoit pas une garantie allant au-delà de l'art. 29 al. 3 Cst. La recourante n'est donc pas fondée à soutenir qu'il conviendrait de limiter l'analyse de la question de l'octroi de l'assistance judiciaire à celle de savoir si les prétentions ou moyens invoqués dans son recours du 14 septembre 2021 sont « manifestement mal fondés ».</w:t>
      </w:r>
    </w:p>
    <w:p>
      <w:r>
        <w:rPr>
          <w:b/>
        </w:rPr>
        <w:t>E. 4</w:t>
      </w:r>
    </w:p>
    <w:p>
      <w:r>
        <w:t>4.1. 4.1.1 Le 1 er janvier 2019, est entrée en vigueur une modification de la loi fédérale sur les étrangers du 16 décembre 2005 (LEtr), devenue la loi fédérale sur les étrangers et l'intégration du 16 décembre 2005 (LEI - RS 142.20).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 4.1.2 L'art. 1 let. b CTEH prévoit que la convention a notamment pour objet de protéger les droits de la personne humaine des victimes de la traite, de concevoir un cadre complet de protection et d'assistance aux victimes ainsi que d'assurer des enquêtes et des poursuites efficaces.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(art. 4 let. a CTEH).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 le Protocole de Palerme; RS 0.311.542; cf. rapport explicatif CETH § 72). La traite d'êtres humains se compose de trois éléments constitutifs : 1) un acte (ce qui est fait) : « le recrutement, le transport, le transfert, l'hébergement ou l'accueil de personnes »; 2) un moyen (comment l'acte est commis) :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(cf. rapport explicatif CETH § 74; également pour le Protocole de Palerme, Combattre la traite des personnes : Guide à l'usage des parlementaires, mars 2009, n° 16 - 2009, p. 13 s., établi par l'Office des Nations unies contre la drogue et le crime [ONUDC]). Pour qu'il y ait traite d'êtres humains, il faut en principe la réunion d'éléments appartenant aux trois catégories reprises ci-dessus (action - moyen - but) (rapport explicatif CETH § 75 s., qui mentionne une exception, non réalisée en l'espèce, pour les enfants). 4.1.3 Selon l'art. 14 § 1 CTEH, chaque Partie délivre un permis de séjour renouvelable aux victimes lorsque l’autorité compétente estime que leur séjour s’avère nécessaire en raison de leur situation personnelle (let. a) et/ou lorsque l’autorité compétente estime que leur séjour s’avère nécessaire en raison de leur coopération avec les autorités compétentes aux fins d’une enquête ou d’une procédure pénale (let. b). 4.1.4 L'art. 30 al. 1 let. e LEI prévoit qu'il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Les art. 35, 36 et 36a OASA précisent le champ d'application de l'art. 30 al. 1 let. e LEI et concrétisent en droit suisse l'art. 14 CTEH (arrêt du Tribunal administratif fédéral F-4436/2019 du 1 er février 2021 consid. 5.4.1). 4.1.5 La jurisprudence précise que la personne étrangère qui se prétend victime de traite d'êtres humains est soumise à un devoir de coopération accru (art. 90 LEI). Elle doit rendre vraisemblable, par des moyens appropriés, son statut de victime (ATF 142 I 152 consid. 6.2; arrêts du Tribunal fédéral 2C_483/2021 du 14 décembre 2021 consid. 7.1.3; 2C_361/2018 du 21 janvier 2019 consid. 4.3; 2C_737/2019 du 27 septembre 2019 consid. 6.3.2; jurisprudence en lien avec les violences conjugales sous l'angle de l'art. 50 al. 1 let. b et al. 2 LEI). Elle doit étayer ses allégués par des preuves, qui peuvent être apportées de différentes manières et à la faveur d'un faisceau d'indices convergents (ATF 142 I 152 consid. 6.2).</w:t>
      </w:r>
    </w:p>
    <w:p>
      <w:r>
        <w:rPr>
          <w:b/>
        </w:rPr>
        <w:t>E. 4.2</w:t>
      </w:r>
    </w:p>
    <w:p>
      <w:r>
        <w:t>En l'espèce et à première vue, le second élément constitutif de la traite d'êtres humains lié au moyen (comment l'acte est commis) ne semble pas être rendu vraisemblable. En effet, la procédure pénale initiée à la suite de la plainte de la recourante contre inconnu, notamment pour séquestration, viol et traite d'êtres humains a fait l'objet d'une ordonnance de non-entrée en matière. Malgré une enquête de police et l'audition de la plaignante, le ou les auteurs n’ont pas pu être formellement identifiés. Il semble dès lors douteux que le statut de victime au sens de l'art. 14 CTEH et 30 al. 1 let. e LEI puisse lui être reconnu, ce d'autant moins que les pièces qui attesteraient, selon elle, de cette qualité ne figurent pas au dossier présentement soumis. Dès lors, le raisonnement de la Vice-présidente du Tribunal de première instance, compte tenu des éléments portés à sa connaissance, n'apparaît pas critiquable.</w:t>
      </w:r>
    </w:p>
    <w:p>
      <w:r>
        <w:rPr>
          <w:b/>
        </w:rPr>
        <w:t>E. 5</w:t>
      </w:r>
    </w:p>
    <w:p>
      <w:r>
        <w:t>5.1. 5.1.1 L'art. 30 al. 1 let. b LEI permet de déroger aux conditions d'admission en Suisse, telles que prévues aux art. 18 à 29 LEI, notamment aux fins de tenir compte des cas individuels d'une extrême gravité ou d'intérêts publics majeurs. 5.1.2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 er janvier 2021, ch. 5.6.10 [ci-après : directives SEM]). 5.1.3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 directives SEM, op. cit., ch. 5.6). 5.1.4 Selon l'art. 36 al. 6 OASA, une prolongation du séjour peut être autorisée en présence d’un cas individuel d’une extrême gravité (art. 31 LEI). Il y a lieu de tenir compte de la situation particulière des victimes ou des témoins de la traite d’êtres humains. L’octroi d’une admission provisoire (art. 83 LEtr) est réservé. Dans l'évaluation de la détresse de la personne concernée, il y a lieu de tenir compte de la situation particulière des victimes ou témoins de la traite d'êtres humains, et ce, indépendamment de leur volonté de coopérer avec les autorités de poursuite pénale (art. 36 al. 6 OASA). Lors de l'examen de la pondération des critères prévus à l'art. 31 OASA, une attention particulière sera accordée à de telles circonstances. On tiendra, par exemple, compte d'atteintes graves à la santé qui ne peuvent être traitées de manière adéquate dans le pays de provenance (la santé de la victime est menacée), des obstacles auxquels se heurte la réinsertion dans le pays de provenance ou du risque de voir la victime retomber entre les mains de trafiquants d'êtres humains. S'il ressort de la pondération des éléments constitutifs d'un cas individuel d'une extrême gravité qu'un retour ne peut être raisonnablement exigé, la demande de séjour pour motifs humanitaires peut être approuvée, même si le degré d'intégration est jugé insuffisant (Directives et commentaires du secrétariat d'État aux migrations, Domaine des étrangers, du 25 octobre 2013, dans leur version actualisée au 1 er mars 2022, ch. 5.7.2.5). 5.1.5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ATA/191/2022 du 22 février 2022 consid. 3h).</w:t>
      </w:r>
    </w:p>
    <w:p>
      <w:r>
        <w:rPr>
          <w:b/>
        </w:rPr>
        <w:t>E. 5.2</w:t>
      </w:r>
    </w:p>
    <w:p>
      <w:r>
        <w:t>En l'espèce, la recourante est arrivée en Suisse en 2018 et semble avoir travaillé en tant que garde d'enfant peu avant son accident en mars 2018. Depuis lors, elle dépend a priori de l'aide sociale. Par ailleurs et comme vu ci-dessus, malgré le fait qu'elle ait été identifiée en qualité de victime par [l'association] B______ et le Centre LAVI, il est douteux qu'elle puisse se prévaloir de ce statut au sens de l'art. 30 al. 1 let. e LEI qui se lit avec l'art. 36 al. 6 OASA pour les mêmes motifs que ceux expliqués ci-dessus. En outre et même à suivre les explications de la recourante, les faits constitutifs de traite d'êtres humains auraient eu lieu non pas dans son pays d'origine mais en Espagne. L'existence d'un tel risque en Guinée équatoriale n'est ainsi pas rendu vraisemblable. En outre, la recourante a de la famille dans son pays d'origine, où elle semble avoir vécu jusqu'à son départ en Espagne puis en Suisse. Les obstacles pour s'y réintégrer devraient être surmontables, ce d'autant plus qu'elle pourra bénéficier du soutien de membres de sa famille, dont ses filles adultes. Quant à ses problèmes de santé, tant psychiques que physiques, ceux-ci ne paraissent pas justifier une autorisation de séjour, puisque les soins nécessaires semblent disponibles en Guinée équatoriale. Il ressort en effet de la décision de l'OCPM du 7 janvier 2021 que, selon les informations du SEM, il existe, dans la ville de C______, un centre médical de physiothérapie, ce qui lui permettra d'ailleurs de poursuivre sa convalescence une fois le matériel d’ostéosynthèse retiré. La physiothérapie est également disponible dans les hôpitaux étatiques, ainsi que dans d'autres établissements publics. Le traitement médicamenteux s'avère également disponible et accessible gratuitement ou à bas coûts. Au vu de ces éléments, la Vice-présidente du Tribunal de première instance était fondée à retenir que la situation de la recourante n'apparaissait pas pouvoir être qualifiée d'un cas d'extrême gravité au sens des art. 30 al. 1 let. b LEI, 31 et 36 al. 6 OASA.</w:t>
      </w:r>
    </w:p>
    <w:p>
      <w:r>
        <w:rPr>
          <w:b/>
        </w:rPr>
        <w:t>E. 6</w:t>
      </w:r>
    </w:p>
    <w:p>
      <w:r>
        <w:t>6.1. 6.1.1 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A teneur de l'art. 83 LEI, le renvoi d'un étranger ne peut être ordonné que si l'exécution de celui-ci est possible, licite ou peut être raisonnablement exigée (al. 1). L'exécution du renvoi n'est pas possible lorsque l'intéressé ne peut quitter la Suisse pour son État d'origine, son État de provenance ou un État tiers ni être renvoyé dans un de ces États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 6.1.2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ATA/801/2018 du 7 août 2018 consid. 10d et l'arrêt cité).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ATA/801/2018 précité consid. 10d et les arrêts cités).</w:t>
      </w:r>
    </w:p>
    <w:p>
      <w:r>
        <w:rPr>
          <w:b/>
        </w:rPr>
        <w:t>E. 6.2</w:t>
      </w:r>
    </w:p>
    <w:p>
      <w:r>
        <w:t>En l'espèce, prima facie et comme vu supra , le pays d'origine de la recourante dispose d'infrastructures hospitalières et de moyens permettant à la recourante de poursuivre le suivi physique, psychiatrique ainsi que le traitement médicamenteux dont elle a besoin. Il ne semble dès lors pas que l'exécution du renvoi de la recourante en Guinée équatoriale ne serait pas possible, serait illicite ou qu'il ne serait pas raisonnablement exigible. Compte tenu de ce qui précède, c'est de manière conforme au droit que l'autorité de première instance a refusé l'extension de l'assistance juridique à la recourante, au motif qu'un recours à l'encontre du jugement du TAPI précité paraissait dénué de chances de succès.</w:t>
      </w:r>
    </w:p>
    <w:p>
      <w:r>
        <w:rPr>
          <w:b/>
        </w:rPr>
        <w:t>E. 7</w:t>
      </w:r>
    </w:p>
    <w:p>
      <w:r>
        <w:t>Partant, le recours, entièrement mal fondé, sera rejeté.</w:t>
      </w:r>
    </w:p>
    <w:p>
      <w:r>
        <w:rPr>
          <w:b/>
        </w:rPr>
        <w:t>E. 8</w:t>
      </w:r>
    </w:p>
    <w:p>
      <w:r>
        <w:t>Sauf exceptions non réalisées en l'espèce, il n'est pas perçu de frais judiciaires pour la procédure d'assistance juridique (art. 119 al. 6 CPC). Par ailleurs, il n'y a pas lieu à l'octroi de dépens, vu l'issue du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