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AC/531/2016 vom 18. Februar 2016</w:t>
      </w:r>
    </w:p>
    <w:p>
      <w:r>
        <w:t>GE Cour de justice, 2016-02-18, FR</w:t>
      </w:r>
    </w:p>
    <w:p>
      <w:r>
        <w:rPr>
          <w:b/>
        </w:rPr>
        <w:t xml:space="preserve">Quelle: </w:t>
      </w:r>
      <w:r>
        <w:t>https://mcp.opencaselaw.ch/entscheid/ge_gerichte_AC_531_2016</w:t>
      </w:r>
    </w:p>
    <w:p>
      <w:r>
        <w:t>FR: GE_GERICHTE AC/531/2016 du 18 février 2016</w:t>
      </w:r>
    </w:p>
    <w:p>
      <w:r>
        <w:t>IT: GE_GERICHTE AC/531/2016 del 18 febbraio 2016</w:t>
      </w:r>
    </w:p>
    <w:p>
      <w:pPr>
        <w:pStyle w:val="Heading2"/>
      </w:pPr>
      <w:r>
        <w:t>Regeste</w:t>
      </w:r>
    </w:p>
    <w:p>
      <w:r>
        <w:t>DÉNUEMENT; LIMITATION(EN GÉNÉRAL) | CPC.117.a; CPC.118.1.c; CC.328.1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ceux-ci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primes d'assurance-maladie complémentaire sont exclues du calcul du minimum vital qui ne comprend que les seuls besoins de base (ATF 134 III 323 consid. 3). Lorsqu'il est fait application de la méthode dite du minimum vital, les frais de véhicule ne peuvent être pris en considération que si celui-ci est indispensable au débiteur personnellement, par exemple en cas d'invalidité, ou qu'il est nécessaire à l'exercice de sa profession (arrêts du Tribunal fédéral 5A_100/2012 du 30 août 2012 consid. 5.1 ; 5A_46/2009 du 22 mai 2009 consid. 6.3).</w:t>
      </w:r>
    </w:p>
    <w:p>
      <w:r>
        <w:rPr>
          <w:b/>
        </w:rPr>
        <w:t>E. 3.2</w:t>
      </w:r>
    </w:p>
    <w:p>
      <w:r>
        <w:t>L'assistance juridique comprend la commission d'office d'un conseil juridique par le tribunal lorsque la défense des droits du requérant l'exige, en particulier lorsque la partie adverse est assistée d'un avocat ; l'assistance d'un conseil juridique peut déjà être accordée pour la préparation du procès (art. 118 al. 1 let. c CPC). L'art. 118 al. 2 CPC précise expressément que l'assistance judiciaire peut être accordée partiellement ou totalement, ce qui est conforme à la jurisprudence rendue sur la base de l'art. 29 al. 3 Cst.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3.3</w:t>
      </w:r>
    </w:p>
    <w:p>
      <w:r>
        <w:t>En l'espèce, c'est à juste titre que l'autorité de première instance a retenu les primes pour l'assurance-maladie obligatoire à l'exclusion des primes afférentes à des assurances privées, dès lors que celles-ci n'entrent pas dans le calcul du minimum vital. C'est aussi à raison qu'elle a écarté les charges découlant de l'achat et de l'utilisation d'un véhicule privé, faute pour la recourante d'avoir démontré qu'un tel véhicule lui était indispensable pour des motifs médicaux. Le Vice-président du Tribunal civil n'est pas tombé dans l'arbitraire en retenant une contribution d'entretien de 2'140 fr. dans les ressources de la recourante. En effet, ce montant ressort des pièces fournies avec la requête, qui ne contenait, de surcroît, pas d'autres indications concernant la contribution d'entretien perçue par la recourante. Les griefs de la recourante au sujet l'établissement de ses revenus et de ses charges sont dès lors infondés et l'autorité de première instance a retenu de manière correcte que le solde disponible de la recourante s'élevait à 720 fr. 35. Il était en revanche erroné de tenir compte, dans l'établissement de la situation financière de la recourante, de la fortune de ses enfants. En effet, ceux-ci ne sont pas indépendants financièrement et n'ont dès lors aucune obligation envers leur mère sous l'angle de l'art. 328 CC. Le solde de 720 fr. 35 dont dispose la recourante ne lui permet pas de rémunérer son avocat pour des conseils juridiques (y compris des négociations) préalables à une procédure de divorce. Par conséquent, la décision querellée sera annulée et une assistance juridique, limitée à 5 heures d'activité d'avocat, lui sera donc octroyée à cet effet. En revanche, aucune demande de divorce n'ayant, en l'état, été déposée, la requête d'assistance juridique est prématurée en tant qu'elle porte sur la procédure de divorce en tant que telle, d'autant plus que le fondement de celle-ci (requête commune ou demande unilatérale) n'est pas connu.</w:t>
      </w:r>
    </w:p>
    <w:p>
      <w:r>
        <w:rPr>
          <w:b/>
        </w:rPr>
        <w:t>E. 4</w:t>
      </w:r>
    </w:p>
    <w:p>
      <w:r>
        <w:t>Sauf exceptions non réalisées en l'espèce, il n'est pas perçu de frais judiciaires pour la procédure d'assistance juridique (art. 119 al. 6 CPC).![endif]&gt;![if&gt;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 PAR CES MOTIFS, LE VICE-PRÉSIDENT DE LA COUR : A la forme : Déclare recevable le recours formé par A______ contre la décision rendue le 18 février 2016 par le Vice-président du Tribunal civil dans la cause AC/531/2016. Au fond : Annule cette décision. Cela fait, statuant à nouveau : Met A______ au bénéfice de l'assistance juridique, limitée à 5 heures d'activité d'avocat, avec effet au 17 février 2016, pour des conseils juridiques (y compris des négociations) préalables à une procédure de divorce. Nomme à cet effet Maître Anik PIZZI, avocate. Dit qu'il n'est pas perçu de frais judiciaires pour le recours. Déboute les parties de toutes autres conclusions. Notifie une copie de la présente décision à A______ en l'Étude de M e Anik PIZZI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