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AC/512/2013 vom 22. Mai 2013</w:t>
      </w:r>
    </w:p>
    <w:p>
      <w:r>
        <w:t>GE Cour de justice, 2013-05-22, FR</w:t>
      </w:r>
    </w:p>
    <w:p>
      <w:r>
        <w:rPr>
          <w:b/>
        </w:rPr>
        <w:t xml:space="preserve">Quelle: </w:t>
      </w:r>
      <w:r>
        <w:t>https://mcp.opencaselaw.ch/entscheid/ge_gerichte_AC_512_2013</w:t>
      </w:r>
    </w:p>
    <w:p>
      <w:r>
        <w:t>FR: GE_GERICHTE AC/512/2013 du 22 mai 2013</w:t>
      </w:r>
    </w:p>
    <w:p>
      <w:r>
        <w:t>IT: GE_GERICHTE AC/512/2013 del 22 maggio 2013</w:t>
      </w:r>
    </w:p>
    <w:p>
      <w:pPr>
        <w:pStyle w:val="Heading2"/>
      </w:pPr>
      <w:r>
        <w:t>Regeste</w:t>
      </w:r>
    </w:p>
    <w:p>
      <w:r>
        <w:t>CHANCES DE SUCCÈS | Cst.29.3; CPC.117</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2.1.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133 III 614 consid. 5; 129 I 129 consid. 2.3.1; ATF 128 I 225 consid. 2.5.3). La situation doit être appréciée à la date du dépôt de la requête et sur la base d'un examen sommaire (ATF 138 III 217 ,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 Concernant le défendeur à une action, les chances de succès de la cause s'examinent de la même manière que pour un demandeur, à moins que la procédure ne commande de spécifiquement prendre en compte son rôle de partie (Arrêt du Tribunal fédéral 5A_590/2009 du 6 janvier 2010, consid. 3.1.3), notamment dans les causes relatives au droit de la famille (Bühler, Kommentar zur schweizerischen Privatrecht, Berner Kommentar, 2012, n. 233b et 241a ad art. 117 ZPO). En effet, il peut également être exigé du défendeur qu'il ne procède pas de manière inutile (cf. arrêt précité; Bühler, op. cit. ).</w:t>
      </w:r>
    </w:p>
    <w:p>
      <w:r>
        <w:rPr>
          <w:b/>
        </w:rPr>
        <w:t>E. 2.2</w:t>
      </w:r>
    </w:p>
    <w:p>
      <w:r>
        <w:t>Aux termes de l'art. 209 CPC, lorsque la tentative de conciliation n’aboutit pas, l’autorité de conciliation consigne l’échec au procès-verbal et délivre l’autorisation de procéder au demandeur.</w:t>
      </w:r>
    </w:p>
    <w:p>
      <w:r>
        <w:rPr>
          <w:b/>
        </w:rPr>
        <w:t>E. 2.3</w:t>
      </w:r>
    </w:p>
    <w:p>
      <w:r>
        <w:t>La prorogation de for donne lieu habituellement à une clause unique, qui doit être claire et sans équivoque et, lorsqu'elle se trouve dans des conditions générales préformées, être mise en évidence et placée à un endroit bien visible (ATF 128 I 273 consid. 2.3).</w:t>
      </w:r>
    </w:p>
    <w:p>
      <w:r>
        <w:rPr>
          <w:b/>
        </w:rPr>
        <w:t>E. 2.4</w:t>
      </w:r>
    </w:p>
    <w:p>
      <w:r>
        <w:t>En vertu de l'art. 149a al. 1 LP, entré en vigueur le 1 er janvier 1997, la créance constatée par un acte de défaut de biens se prescrit par 20 ans à partir de la délivrance de cet acte. La délivrance d'un acte de défaut de biens laisse certes exister par principe la créance d'origine. En marge des conséquences intervenant du point de vue du droit des poursuites, l'acte de défaut de biens a cependant pour effet que la créance se prescrit désormais selon les dispositions découlant du droit des poursuites (ATF 317 II 17 consid. 2.5, RDAF 2011 II p. 210 consid. 2.5). Lorsqu'il a été délivré, comme en l'occurrence, avant l'entrée en vigueur de la nouvelle loi (1er janvier 1997), la prescription court dès l'entrée en vigueur de celle-ci (art. 2 al. 5 disp. fin. LP); elle échoit ainsi le 1 er janvier 2017 (arrêt du Tribunal fédéral 5P.434/2005 du 21 mars 2006 consid. 2.3; Huber, Basler Kommentar, SchKG I, 2010, n. 4 ad art. 149a LP).</w:t>
      </w:r>
    </w:p>
    <w:p>
      <w:r>
        <w:rPr>
          <w:b/>
        </w:rPr>
        <w:t>E. 2.5</w:t>
      </w:r>
    </w:p>
    <w:p>
      <w:r>
        <w:t>En vertu de l'art. 493 al. 2 CO, une personne physique ne peut s'obliger par cautionnement qu'en émettant une déclaration revêtue de la forme authentique, alors que la promesse de porte-fort ou l'engagement solidaire sont des actes qui ne supposent aucune forme particulière (art. 11 al. 1 CO). Cependant, étant donné que dans le cautionnement, la forme authentique est requise pour la protection du garant contre des engagements auxquels celui-ci n'aurait pas mûrement réfléchi, le juge n'admet qu'avec retenue le choix des parties en faveur de la promesse de porte-fort ou de l'engagement solidaire; dans le doute, indépendamment des termes dans lesquels une personne physique a déclaré qu'elle garantirait l'obligation d'un tiers, cette personne est réputée avoir contracté un cautionnement (ATF 129 III 702 consid. 2.3 et 2.5). Dans un arrêt 4C.24/2007 du 26 avril 2007 (et jurisprudence citée), le Tribunal fédéral a examiné la situation de deux actionnaires et administrateurs d'une société anonyme qui avaient signé un engagement de codébiteurs solidaires auprès de la banque qui avait accordé un prêt à ladite société anonyme. Les juges fédéraux ont estimé que l'engagement solidaire doit être admis, à l'exclusion du cautionnement de l'art. 493 CO, lorsque le garant a un intérêt direct et matériel dans l'affaire à conclure entre le débiteur et le créancier, et que ce dernier a connaissance de cet intérêt et qu'il peut donc apercevoir le motif pour lequel le garant se déclare prêt à assumer une obligation identique à celle du débiteur. Il en va ainsi, notamment, lorsque le débiteur est lié au garant par un contrat de société et que l'affaire concourt à la réalisation de leur but commun (consid. 5).</w:t>
      </w:r>
    </w:p>
    <w:p>
      <w:r>
        <w:rPr>
          <w:b/>
        </w:rPr>
        <w:t>E. 2.6</w:t>
      </w:r>
    </w:p>
    <w:p>
      <w:r>
        <w:t>En l'espèce, compte tenu des principes juridiques rappelés ci-dessus, il apparaît, prima facie , que la clause de prorogation de for prévue dans les conditions générales de la banque signées par la recourante est valable. En outre, les irrégularités de procédure invoquées par la recourante semblent dénuées de pertinence, dès lors que, à teneur de la loi, le demandeur est l'unique destinataire de l'autorisation de procéder et que pour le surplus, ladite autorisation de procéder semble remplir les conditions posées par l'art. 209 al. 2 CPC. Par ailleurs, la demande introduite par la banque en date du 5 avril 2013 a été communiquée pour notification à la recourante le 7 juin 2013, de sorte que les irrégularités de procédure invoquées par la recourante sont sans objet. Par ailleurs, la créance litigieuse de la banque constatée par l'acte de défaut de biens n'est vraisemblablement pas prescrite. Partant, le moyen que la recourante entend tirer de l'exception de prescription semble dénué de chance de succès. De plus, compte tenu de la jurisprudence susmentionnée et des circonstances du cas d'espèce, à savoir du fait que la recourante était administratrice présidente et actionnaire de C______, il est hautement vraisemblable que le TPI, saisi de la même action entre les mêmes parties, reprenne, en ce qui concerne l'interprétation de l'acte litigieux, les considérations de la Cour de justice (ACJC/4_____, consid. 2.5) au sujet de la validité de l'engagement de codébiteurs solidaires signé par la recourante. En effet, l'intérêt personnel et matériel de la recourante dans l'affaire doit être admis prima facie ; d'un point de vue économique, elle n'intercédait pas pour un tiers débiteur mais elle agissait aux fins de sa propre activité commerciale. En conséquence, il y a peu de chances que la recourante parvienne à démontrer que son rôle dans la société n'était que de pure circonstance et que l'engagement qu'elle avait pris était en réalité un cautionnement. De surcroît, le fait que le montant de la créance constatée par l'acte de défaut de biens ne coïncide pas avec celui figurant dans l'engagement de codébiteurs solidaires n'est pas pertinent, dès lors que ledit engagement portait également sur toutes les "créances actuelles et futures" de la banque envers la société C______. Pour le surplus, s'il est plausible qu'un justiciable disposant de ressources suffisantes n'hésiterait pas à mandater un avocat s'il se trouvait dans une situation similaire, compte tenu de la valeur litigieuse et du complexe de faits en cause, il n'en demeure pas moins que l'octroi de l'assistance juridique est subordonné au fait que la cause du requérant ne soit pas dépourvue de chances de succès, ce qui n'est pas le cas en l'espèce. Compte tenu de ce qui précède, c'est à bon droit que le premier juge a rejeté la demande d'assistance juridique de la recourante au motif que sa cause paraissait dénuée de chances de succès. Partant, le recours, infondé, sera rejeté.</w:t>
      </w:r>
    </w:p>
    <w:p>
      <w:r>
        <w:rPr>
          <w:b/>
        </w:rPr>
        <w:t>E. 3</w:t>
      </w:r>
    </w:p>
    <w:p>
      <w:r>
        <w:t>La recourante sollicite en outre que l'assistance juridique lui soit accordée avec effet rétroactif au 29 juin 2012 pour la procédure d'appel contre le jugement du TPI du 18 juin 2012. Dans la mesure où l'appel de la recourante a été couronné de succès et que la banque a été condamnée à payer 8'800 fr. de frais judiciaires et 7'000 fr. de dépens à la recourante, sa demande d'assistance juridique avec effet rétroactif est sans objet.</w:t>
      </w:r>
    </w:p>
    <w:p>
      <w:r>
        <w:rPr>
          <w:b/>
        </w:rPr>
        <w:t>E. 4</w:t>
      </w:r>
    </w:p>
    <w:p>
      <w:r>
        <w:t>Sauf exceptions non réalisées en l'espèce, il n'est pas perçu de frais judiciaires pour la procédure d'assistance juridique (art. 119 al. 6 CPC). Par ailleurs, selon la pratique constante de l'autorité de céans, aucune indemnité de dépens n'est allouée en matière d'assistance judiciaire, notamment au vu du caractère simple et non formel de cette procédure. Un recourant peut ainsi agir seul sans l'aide d'un avocat. S'il souhaite néanmoins recourir par l'intermédiaire de son conseil, il doit prendre à sa charge les honoraires de ce dernier. * * * * * PAR CES MOTIFS, LA VICE-PRÉSIDENTE DE LA COUR : À la forme : Déclare recevable le recours formé par A______ contre la décision rendue le 22 mai 2013 par la Vice-présidente du Tribunal civil dans la cause AC/512/2013. Au fond : Rejette le recours. Déboute A______ de toutes autres conclusions. Dit qu'il n'est pas perçu de frais judiciaires, ni alloué de dépens. Notifie une copie de la présente décision à A______ en l'Étude de M e Julien FIVAZ (art. 137 CPC). Siégeant : Madame Marguerite JACOT-DES-COMBES, vice-présidente ; Madame Blerta TOLAJ, commise-greffière.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