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AC/504/2025 vom 24. März 2025</w:t>
      </w:r>
    </w:p>
    <w:p>
      <w:r>
        <w:t>GE Cour de justice, 2025-03-24, FR</w:t>
      </w:r>
    </w:p>
    <w:p>
      <w:r>
        <w:rPr>
          <w:b/>
        </w:rPr>
        <w:t xml:space="preserve">Quelle: </w:t>
      </w:r>
      <w:r>
        <w:t>https://mcp.opencaselaw.ch/entscheid/ge_gerichte_AC_504_2025</w:t>
      </w:r>
    </w:p>
    <w:p>
      <w:r>
        <w:t>FR: GE_GERICHTE AC/504/2025 du 24 mars 2025</w:t>
      </w:r>
    </w:p>
    <w:p>
      <w:r>
        <w:t>IT: GE_GERICHTE AC/504/2025 del 24 marzo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nouveaux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3.2.1</w:t>
      </w:r>
    </w:p>
    <w:p>
      <w:r>
        <w:t>Selon l'art. 52 al. 1 LPGA, les décisions peuvent être attaquées dans les trente jours par voie d'opposition auprès de l'assureur qui les a rendues, à l'exception des décisions d'ordonnancement de la procédure.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3.2.2</w:t>
      </w:r>
    </w:p>
    <w:p>
      <w:r>
        <w:t>Conformément à l’art. 39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En vertu de l’art. 40 al. 1 LPGA, le délai légal ne peut pas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(MOOR, Droit administratif, vol. 2, Berne 1991, p. 181).</w:t>
      </w:r>
    </w:p>
    <w:p>
      <w:r>
        <w:rPr>
          <w:b/>
        </w:rPr>
        <w:t>E. 3.2.3</w:t>
      </w:r>
    </w:p>
    <w:p>
      <w:r>
        <w:t>Le fardeau de la preuve de la réception d'un envoi incombe en principe à la personne ou l'autorité qui entend tirer une conséquence juridique (ATF 122 I 100 consid. 3b, 114 III 53 consid. 3c et 4, 103 V 65 consid. 2a). L'envoi sous pli simple ne permet en général pas d'établir que la communication est parvenue au destinataire et la seule présence au dossier de la copie d'une lettre n'autorise pas à conclure avec un degré de vraisemblance prépondérante que cette lettre a effectivement été envoyée par son expéditeur et qu'elle a été reçue par le destinataire (ATF 101 Ia 8 consid.1). La preuve de la communication peut néanmoins résulter d'autres indices ou de l'ensemble des circonstances, en particulier, de la correspondance échangée ou de l'absence de protestation de la part d'une personne qui reçoit des rappels (cf. ATF 105 III 46 consid. 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Il n'existe pas, en droit des assurances sociales, un principe selon lequel l'administration ou le juge devrait statuer, dans le doute, en faveur de l'assuré (ATF 126 V 322 consid. 5a).</w:t>
      </w:r>
    </w:p>
    <w:p>
      <w:r>
        <w:rPr>
          <w:b/>
        </w:rPr>
        <w:t>E. 3.2.4</w:t>
      </w:r>
    </w:p>
    <w:p>
      <w:r>
        <w:t>Selon l’art. 10 de l’Ordonnance sur la partie générale du droit des assurances sociales du 11 septembre 2002 (OPGA - RS 830.11), l’opposition doit contenir des conclusions et être motivée (al. 1). Dans les autres cas – que ceux mentionnés à l’al. 2 (non pertinents ici) –, l’opposition peut être formée au choix par écrit ou par oral, lors d’un entretien personnel (al. 3).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Les exigences posées à la forme et au contenu d'une opposition ne sont pas élevées. Il suffit que la volonté du destinataire d'une décision de ne pas accepter celle-ci ressorte clairement de son écriture ou de ses déclarations (ATF 115 V 422 consid. 3a p. 426; cf . également SVR 2004 AHV n. 10 p. 31, H 155/03 consid. 4.2 et les références; KIESER, ATSG-Kommentar : Kommentar zum Bundesgesetz über den Allgemeinen Teil des Sozialversicherungsrechts vom</w:t>
      </w:r>
    </w:p>
    <w:p>
      <w:r>
        <w:rPr>
          <w:b/>
        </w:rPr>
        <w:t>E. 3.2.5</w:t>
      </w:r>
    </w:p>
    <w:p>
      <w:r>
        <w:t>L'art. 37 al. 1 LPGA, applicable quelle que soit la branche d’assurance concernée (DUPONT, in Commentaire romand, LPGA, 2018, n. 3 ad art. 37 LPGA), stipule qu'une partie peut, en tout temps, se faire représenter à moins qu’elle ne doive agir personnellement, ou se faire assister, pour autant que l’urgence d’une enquête ne l’exclue pas. L’autorité est tenue d’adresser au mandataire ses communications tant que la partie ne révoque pas la procuration (art. 37 al. 1 et 3 LPGA; voir également art. 11 al. 1 et 3 PA). L’al. 2 de cette disposition précise que l’autorité peut demander au mandataire qu’il démontre ses pouvoirs au moyen d’une procuration écrite. Il faut déduire de cette formule potestative que l’existence d’une procuration écrite n’est pas une condition de validité des actes du représentant. Le rapport de représentation peut ainsi être le fait de pouvoirs conférés par oral, ou par acte concluant (DUPONT, in Commentaire romand, LPGA, 2018, n. 20 ad art. 37 LPGA et l’ouvrage cité). Dans le cadre d’un litige portant, par exemple, sur l’existence ou non d’une atteinte à la santé à caractère invalidant, la jurisprudence constante de la Chambre des assurances sociales de la Cour admet le médecin traitant comme mandataire professionnellement qualifié au sens de l’art. 9 al. 1 LPA (cf. ATAS/159/2015 ; ATAS/594/2014 ; ATAS/758/2011 ).</w:t>
      </w:r>
    </w:p>
    <w:p>
      <w:r>
        <w:rPr>
          <w:b/>
        </w:rPr>
        <w:t>E. 3.3</w:t>
      </w:r>
    </w:p>
    <w:p>
      <w:r>
        <w:t>En l'espèce, il n'est pas contesté que l'opposition formée par la recourante le 19 décembre 2024 était tardive. La recourante fait cependant valoir que son médecin a formé opposition pour son compte, par pli expédié le 7 décembre 2024 à la SUVA, dans le délai légal. La preuve de la réception de ce courrier incombe à la recourante, qui entend en tirer des droits. Or, aucun élément du dossier ne permet de rendre vraisemblable que ce courrier, envoyé par pli simple, a été effectivement reçu par la SUVA. D'une part, la décision sur opposition rendue par la SUVA ne fait aucune mention de ce courrier, ce qui tend à indiquer, à première vue, que l'assurance n'en avait pas connaissance. D'autre part, le courriel envoyé par la recourante le 19 décembre 2024, présenté comme une opposition, n'évoque ni un appel téléphonique qu'elle aurait eu – à une date non précisée – avec la SUVA (et dans le cadre duquel ce courrier d'opposition du 7 octobre 2024 aurait été discuté), ni une quelconque information qui aurait été donnée par cette assurance. Dans la mesure où les éléments du dossier ne permettent pas de retenir, sous l'angle de la vraisemblance, qu'une opposition contre la décision de la SUVA a bien été formée dans le délai légal, c'est à juste titre que l'autorité de première instance a retenu que le recours formé devant la Chambre des assurances sociales paraissait dénué de chances de succès. C'est donc à bon droit que le bénéfice de l'assistance juridique ne lui a pas été accordé pour cette procédure. Partant, le recours, infondé, sera rejeté. 4. 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25 avril 2025 par A______ contre la décision rendue le 24 mars 2025 par la vice-présidence du Tribunal civil dans la cause AC/504/2025. Au fond : Le rejette. Déboute A______ de toutes autres conclusions. Dit qu'il n'est pas perçu de frais judiciaires pour le recours, ni alloué de dépens. Notifie une copie de la présente décision à A______ en l'Étude de M e C______ (art. 137 CPC).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r>
        <w:rPr>
          <w:b/>
        </w:rPr>
        <w:t>E. 6</w:t>
      </w:r>
    </w:p>
    <w:p>
      <w:r>
        <w:t>Oktober 2000, Zurich 2003, n. 13 ad art. 52). Selon la jurisprudence, l'art. 10 al. 5 OPGA, qui prévoient l'octroi d'un délai supplémentaire pour régulariser une opposition, vise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(arrêts du Tribunal fédéral 8C_245/2022 du 7 septembre 2022 consid. 3.3; 8C_817/2017 du 31 août 2018 consid. 4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