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AC/499/2023 vom 12. Juli 2024</w:t>
      </w:r>
    </w:p>
    <w:p>
      <w:r>
        <w:t>GE Cour de justice, 2024-07-12, FR</w:t>
      </w:r>
    </w:p>
    <w:p>
      <w:r>
        <w:rPr>
          <w:b/>
        </w:rPr>
        <w:t xml:space="preserve">Quelle: </w:t>
      </w:r>
      <w:r>
        <w:t>https://mcp.opencaselaw.ch/entscheid/ge_gerichte_AC_499_2023</w:t>
      </w:r>
    </w:p>
    <w:p>
      <w:r>
        <w:t>FR: GE_GERICHTE AC/499/2023 du 12 juillet 2024</w:t>
      </w:r>
    </w:p>
    <w:p>
      <w:r>
        <w:t>IT: GE_GERICHTE AC/499/2023 del 12 luglio 2024</w:t>
      </w:r>
    </w:p>
    <w:p>
      <w:pPr>
        <w:pStyle w:val="Heading2"/>
      </w:pPr>
      <w:r>
        <w:t>Volltext</w:t>
      </w:r>
    </w:p>
    <w:p>
      <w:r>
        <w:t>Genève Cour de Justice (Cour civile) Assistance Juridique 30.08.2024 AC/499/2023</w:t>
      </w:r>
    </w:p>
    <w:p>
      <w:r>
        <w:t>AC/499/2023 DAAJ/93/2024 du 30.08.2024 sur AJC/3844/2024 ( AJC ) , RETIRE RÉPUBLIQUE ET CANTON DE GENÈVE POUVOIR JUDICIAIRE AC/499/2023 DAAJ/93/2024 COUR DE JUSTICE Assistance judiciaire DÉCISION DU VENDREDI 30 AOUT 2024 Statuant sur le recours déposé par : Madame A ______ , domiciliée ______, contre la décision du 12 juillet 2024 de la Vice-présidence du Tribunal civil. Vu la décision AJC/3844/2024 rendue le 12 juillet 2024 par la Vice-présidence du Tribunal civil dans la cause AC/499/2023 condamnant A______ (ci-après : la recourante) à rembourser à l'Etat de Genève la somme de 1'007 fr. 70; Vu le recours formé par la recourante le 20 juillet 2024 à l'encontre de cette décision; Attendu que la recourante a retiré ce recours par courrier expédié le 7 août 2024 à la Cour de justice, la Vice-présidence du Tribunal civil ayant rendu une nouvelle décision le 25 juillet 2024, annulant et remplaçant la décision querellée;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A______ contre la décision AJC/3844/2024 rendue le 12 juillet 2024 par la Vice-présidence du Tribunal civil dans la cause AC/499/2023. Raye la cause du rôle. Dit qu'il n'est pas perçu de frais judiciaires pour le recours.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