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AC/499/2014 vom 17. September 2014</w:t>
      </w:r>
    </w:p>
    <w:p>
      <w:r>
        <w:t>GE Cour de justice, 2014-09-17, FR</w:t>
      </w:r>
    </w:p>
    <w:p>
      <w:r>
        <w:rPr>
          <w:b/>
        </w:rPr>
        <w:t xml:space="preserve">Quelle: </w:t>
      </w:r>
      <w:r>
        <w:t>https://mcp.opencaselaw.ch/entscheid/ge_gerichte_AC_499_2014</w:t>
      </w:r>
    </w:p>
    <w:p>
      <w:r>
        <w:t>FR: GE_GERICHTE AC/499/2014 du 17 septembre 2014</w:t>
      </w:r>
    </w:p>
    <w:p>
      <w:r>
        <w:t>IT: GE_GERICHTE AC/499/2014 del 17 settembre 2014</w:t>
      </w:r>
    </w:p>
    <w:p>
      <w:pPr>
        <w:pStyle w:val="Heading2"/>
      </w:pPr>
      <w:r>
        <w:t>Regeste</w:t>
      </w:r>
    </w:p>
    <w:p>
      <w:r>
        <w:t>DÉCISION D'IRRECEVABILITÉ | CPC.320</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Le recours a été déposé dans le délai utile et en la forme écrite prescrite par la loi, sous réserve de l'exigence de motivation du recours qui fait l'objet du ch. 2. ci-après.</w:t>
      </w:r>
    </w:p>
    <w:p>
      <w:r>
        <w:rPr>
          <w:b/>
        </w:rPr>
        <w:t>E. 1.3</w:t>
      </w:r>
    </w:p>
    <w:p>
      <w:r>
        <w:t>Compte tenu de l'issue du litige, il ne se justifie pas de procéder à l'audition du recourant, que ce dernier ne sollicite au demeurant pas (art. 10 al. 3 LPA ; arrêt du Tribunal fédéral 2D_6/2012 du 31 juillet 2012 consid. 3).</w:t>
      </w:r>
    </w:p>
    <w:p>
      <w:r>
        <w:rPr>
          <w:b/>
        </w:rPr>
        <w:t>E. 2</w:t>
      </w:r>
    </w:p>
    <w:p>
      <w:r>
        <w:t>2.1. 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aucune motivation permettant de comprendre en quoi le Vice-président du Tribunal civil aurait établi les faits de manière arbitraire et quelle violation de la loi lui est reprochée.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par A______ contre la décision rendue le 17 septembre 2014 par le Vice-président du Tribunal civil dans la cause AC/499/2014.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