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AC/485/2020 vom 20. April 2020</w:t>
      </w:r>
    </w:p>
    <w:p>
      <w:r>
        <w:t>GE Cour de justice, 2020-04-20, FR</w:t>
      </w:r>
    </w:p>
    <w:p>
      <w:r>
        <w:rPr>
          <w:b/>
        </w:rPr>
        <w:t xml:space="preserve">Quelle: </w:t>
      </w:r>
      <w:r>
        <w:t>https://mcp.opencaselaw.ch/entscheid/ge_gerichte_AC_485_2020</w:t>
      </w:r>
    </w:p>
    <w:p>
      <w:r>
        <w:t>FR: GE_GERICHTE AC/485/2020 du 20 avril 2020</w:t>
      </w:r>
    </w:p>
    <w:p>
      <w:r>
        <w:t>IT: GE_GERICHTE AC/485/2020 del 20 aprile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nombreux allégués de faits dont le recourant n'a pas fait état en première instance et la pièce nouvellement produite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w:t>
      </w:r>
    </w:p>
    <w:p>
      <w:r>
        <w:rPr>
          <w:b/>
        </w:rPr>
        <w:t>E. 3.1.2</w:t>
      </w:r>
    </w:p>
    <w:p>
      <w:r>
        <w:t>Le bail de sous-location, même s'il n'a pas été résilié, ne peut pas perdurer au-delà du bail principal. Lorsque ce dernier a pris fin, le propriétaire peut revendiquer les locaux loués vis-à-vis du sous-locataire en invoquant l'art. 641 al. 2 CC (arrêt du Tribunal fédéral 4C.17/2004 du 2 juin 2004 consid. 7). Les dispositions sur la prolongation de bail s'appliquent à la sous-location jusqu'à l'extinction du bail principal; la prolongation n'est possible que pour la durée du bail principal (art. 273b al. 1 CO). Le contrat de sous-location dépend du contrat de bail principal et ne saurait en excéder l'échéance; il ne peut pas être prolongé au-delà du moment où le contrat principal prend fin. Le fait que le sous-locataire ait en soi le droit d'obtenir du locataire principal (sous-bailleur) la prolongation du contrat de sous-location ne saurait en conséquence conduire à une prolongation correspondante du contrat de bail principal (arrêt du Tribunal fédéral 4A_366/2012 du 3 septembre 2012 consid. 3).</w:t>
      </w:r>
    </w:p>
    <w:p>
      <w:r>
        <w:rPr>
          <w:b/>
        </w:rPr>
        <w:t>E. 3.2</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qu'en présence de circonstances particulières. Or en l'occurrence, ni les faits motivant la requête ni les questions juridiques qui pourraient se poser ne paraissent complexes, dès lors que la résiliation du bail de sous-location se fonde sur la résiliation du bail principal. Il s'ensuit qu'avec l'aide de l'autorité de conciliation et/ou de juristes ou autres membres d'organismes sociaux, non inscrits au barreau, notamment ceux spécialisés en droit du bail, le recourant est en mesure de défendre utilement son point de vue dans le cadre de cette procédure qui revêt un caractère informel et simple. C'est donc à bon droit que la Vice-présidente du Tribunal civil a considéré que la situation ne présentait pas de difficultés particulières nécessitant l'assistance d'un avocat, à tout le moins à ce stade de la procédure. La circonstance que la partie adverse du recourant dans la procédure au fond soit expérimentée en droit du bail n'est pas de nature à remettre en cause ce qui précède. Par ailleurs, au regard des principes rappelés ci-dessus, la cause du recourant paraît, à première vue, dénuée de chances de succès, de sorte que l'aide étatique doit également être refusée pour ce motif.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20 avril 2020 par la Vice-présidente du Tribunal de première instance dans la cause AC/485/2020.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