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AC/480/2014 vom 19. Juni 2014</w:t>
      </w:r>
    </w:p>
    <w:p>
      <w:r>
        <w:t>GE Cour de justice, 2014-06-19, FR</w:t>
      </w:r>
    </w:p>
    <w:p>
      <w:r>
        <w:rPr>
          <w:b/>
        </w:rPr>
        <w:t xml:space="preserve">Quelle: </w:t>
      </w:r>
      <w:r>
        <w:t>https://mcp.opencaselaw.ch/entscheid/ge_gerichte_AC_480_2014</w:t>
      </w:r>
    </w:p>
    <w:p>
      <w:r>
        <w:t>FR: GE_GERICHTE AC/480/2014 du 19 juin 2014</w:t>
      </w:r>
    </w:p>
    <w:p>
      <w:r>
        <w:t>IT: GE_GERICHTE AC/480/2014 del 19 giugno 2014</w:t>
      </w:r>
    </w:p>
    <w:p>
      <w:pPr>
        <w:pStyle w:val="Heading2"/>
      </w:pPr>
      <w:r>
        <w:t>Regeste</w:t>
      </w:r>
    </w:p>
    <w:p>
      <w:r>
        <w:t>FORTUNE MOBILIÈRE; FORTUNE IMMOBILIÈRE; RÉSERVE(CAPITAL) | Cst.29.3;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1.4</w:t>
      </w:r>
    </w:p>
    <w:p>
      <w:r>
        <w:t>Les conclusions préalables de la recourante en suspension du délai pour fournir l'avance de frais litigieuse sont devenues sans objet, compte tenu de la suspension de ce délai par le Tribunal civil, le 10 juillet 2014.</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 La personne qui sollicite l'assistance judiciaire ne doit pas se démunir d'éléments de son patrimoine avant ou pendant la procédure d'octroi éventuel de cette assistance (arrêt du Tribunal fédéral 4P.158/2002 du 16 août 2002 consid. 2.2).</w:t>
      </w:r>
    </w:p>
    <w:p>
      <w:r>
        <w:rPr>
          <w:b/>
        </w:rPr>
        <w:t>E. 3.2</w:t>
      </w:r>
    </w:p>
    <w:p>
      <w:r>
        <w:t>En l'espèce, compte tenu des principes rappelés ci-dessus, il appartenait à la recourante, assistée d'un avocat, de fournir les pièces utiles nonobstant son âge avancé, voire d'éventuels problèmes de santé. La décision querellée tient compte de manière correcte de la prime d'assurance-maladie (209 fr. 80), le montant retenu au titre de rente de 2 ème pilier étant celui versé à la recourante après déduction de cette prime. Aucune pièce ne démontre la nature médicale ni le montant (442 fr. 15) allégué au titre de frais non remboursés par l'assurance-maladie. Les prétendus frais de ménage de 866 fr. 65 par mois au minimum ne sont pas non plus prouvés. Les charges de la recourante totalisent, dès lors, 2'699 fr. 25, comme l'a correctement retenu l'autorité de première instance. Si la recourante a effectivement vendu ses actions D______ comme elle l'allègue, sans le démontrer par pièces, ses revenus s'élèvent à 6'312 fr. 75. Elle bénéficie donc d'un solde disponible de 3'613 fr. 50, compte tenu d'un minimum vital majoré de 20%. Ce montant est insuffisant pour lui permettre de payer immédiatement 60'000 fr. À suivre la recourante, elle s'est dessaisie du produit de la vente de ses actions avant ou pendant la procédure d'octroi, ce qui n'est pas autorisé par la jurisprudence. Au 31 décembre 2013, sa fortune mobilière, de 87'960 fr., lui permettait de payer elle-même un montant de 60'000 fr. au Tribunal civil, sans entamer une réserve de secours, qui doit lui être accordée, en sus de son revenu. Il lui serait resté un montant de 27'960 fr., se situant dans la fourchette prévue par la jurisprudence. Le fait d'affecter d'importantes sommes au déménagement de meubles vers l'Angleterre, à l'aménagement d'un logement dans ce pays et d'effectuer plusieurs voyages y relatifs est un choix personnel. Octroyer l'assistance juridique sollicitée à la recourante reviendrait à faire supporter au contribuable les dépenses précitées, effectuées par la recourante après le 31 décembre 2013, ce qui est contraire au but de l'assistance juridique. De surcroît, la recourante n'a pas démontré ne pas être en mesure de payer elle-même 60'000 fr. au Tribunal civil. Elle n'indique pas avoir essayé d'augmenter l'hypothèque sur sa part de copropriété de la villa, cette part n'apparaissant pas hypothéquée à son maximum. Le dossier ne contient pas de pièces concernant le sort de ses actions D______ après le 31 décembre 2013, ni sur l'affectation du produit de la prétendue vente de celles-ci. Par ailleurs, aucun élément de preuve n'a été apporté permettant de retenir que la seconde demanderesse à l'action en partage, qui devrait supporter une partie de l'avance de frais, n'a pas les moyens de participer auxdits frais. Compte tenu de ce qui précède, le recours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3 juillet 2014 par A______ contre la décision rendue le 19 juin 2014 par le Vice-président du Tribunal civil dans la cause AC/480/2014. Au fond : Le rejette. Déboute A______ de toutes autres conclusions. Dit qu'il n'est pas perçu de frais judiciaires pour le recours. Notifie une copie de la présente décision à A______ en l'Étude de M e Philippe EIGENHEER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