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AC/474/2018 vom 25. Februar 2019</w:t>
      </w:r>
    </w:p>
    <w:p>
      <w:r>
        <w:t>GE Cour de justice, 2019-02-25, FR</w:t>
      </w:r>
    </w:p>
    <w:p>
      <w:r>
        <w:rPr>
          <w:b/>
        </w:rPr>
        <w:t xml:space="preserve">Quelle: </w:t>
      </w:r>
      <w:r>
        <w:t>https://mcp.opencaselaw.ch/entscheid/ge_gerichte_AC_474_2018</w:t>
      </w:r>
    </w:p>
    <w:p>
      <w:r>
        <w:t>FR: GE_GERICHTE AC/474/2018 du 25 février 2019</w:t>
      </w:r>
    </w:p>
    <w:p>
      <w:r>
        <w:t>IT: GE_GERICHTE AC/474/2018 del 25 febbraio 2019</w:t>
      </w:r>
    </w:p>
    <w:p>
      <w:pPr>
        <w:pStyle w:val="Heading2"/>
      </w:pPr>
      <w:r>
        <w:t>Regeste</w:t>
      </w:r>
    </w:p>
    <w:p>
      <w:r>
        <w:t>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l'allégué de fait relatif à la perte d'emploi ne sera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 jurisprudence, quand le mariage a eu un impact décisif sur la vie de l'époux créancier et a concrètement influencé sa situation financière, il a en principe droit au maintien du niveau de vie mené durant le mariage, alors que, dans le cas contraire, il convient de s'en tenir à la situation qui était la sienne avant le mariage (ATF 137 III 102 consid. 4.1.2; 135 III 59 consid. 4.1). On admet que le mariage a eu une influence concrète sur les conditions d'existence de l'époux lorsqu'il a créé pour lui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arrêt du Tribunal fédéral 5A_172/2018 du 23 août 2018 consid. 3.2.1). La jurisprudence retient également que, indépendamment de sa durée, un mariage influence concrètement la situation des conjoints en cas de déracinement culturel de l'un des époux (arrêt du Tribunal fédéral 5A_844/2014 du 23 avril 2015 consid. 4.2). 3.1.3 Toute incapacité de travail, même médicalement attestée, ne donne pas encore droit à une rente d'assurance-invalidité. Pour qu'une telle rente puisse être prise en compte sous l'angle d'un revenu hypothétique, il faut que le droit à l'obtenir soit établi, ou, à tout le moins, hautement vraisemblable (arrêt du Tribunal fédéral 5A_836/2015 du 8 avril 2016 consid. 5.2; ACJC/1035/2018 du 25 juillet 2018 consid. 4.1.3).</w:t>
      </w:r>
    </w:p>
    <w:p>
      <w:r>
        <w:rPr>
          <w:b/>
        </w:rPr>
        <w:t>E. 3.2</w:t>
      </w:r>
    </w:p>
    <w:p>
      <w:r>
        <w:t>En l'espèce, le recourant se prévaut en vain de la quasi absence de vie commune des époux à l'appui de son appel à la Cour de justice, puisqu'il ressort de la jurisprudence que la durée de la vie commune n'est pas le seul critère à prendre en considération. En effet, indépendamment de la durée de la vie commune des époux, un mariage a eu une influence concrète lorsque les époux ont eu des enfants communs, ce qui est le cas du recourant et de son ex-épouse, ainsi qu'en cas de déracinement culturel de l'un des époux, ce qui est avéré pour l'ex-épouse qui a quitté le Liban pour s'établir à Genève. Ce grief du recourant paraît, dès lors, infondé. Ensuite, contrairement aux affirmations du recourant, il ressort du jugement du 13 septembre 2018 que le Tribunal a examiné la situation personnelle et financière de l'ex-épouse (cf. let. A ci-dessus) et qu'il a exclu de lui imposer l'exercice d'une activité professionnelle, y compris dans une activité non qualifiée, respectivement de lui imputer un revenu hypothétique, en raison de son incapacité totale de travail due à un état dépressif sévère. Enfin, le recourant reproche en vain au juge du divorce de n'avoir pas examiné dans quelle mesure l'ex-épouse pourrait prétendre à l'octroi d'une rente d'invalidité puisqu'il lui incombait d'établir un tel droit, à tout le moins le rendre hautement vraisemblable, ce qu'il n'a pas fait. Par conséquent, c'est avec raison que le Vice-président du Tribunal civil a refusé l'assistance juridique au recourant dès lors que son appel du 17 octobre 2018 à la Cour de justice apparaît être dénué de chances de succès.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 er novembre 2018 par le Vice-président du Tribunal civil dans la cause AC/474/2018. Au fond : Le rejette. Déboute A______ de toutes autres conclusions. Dit qu'il n'est pas perçu de frais judiciaires pour le recours. Notifie une copie de la présente décision à A______ en l'Étude de M e Philippe GIROD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