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AC/474/2014 vom 6. August 2015</w:t>
      </w:r>
    </w:p>
    <w:p>
      <w:r>
        <w:t>GE Cour de justice, 2015-08-06, FR</w:t>
      </w:r>
    </w:p>
    <w:p>
      <w:r>
        <w:rPr>
          <w:b/>
        </w:rPr>
        <w:t xml:space="preserve">Quelle: </w:t>
      </w:r>
      <w:r>
        <w:t>https://mcp.opencaselaw.ch/entscheid/ge_gerichte_AC_474_2014</w:t>
      </w:r>
    </w:p>
    <w:p>
      <w:r>
        <w:t>FR: GE_GERICHTE AC/474/2014 du 6 août 2015</w:t>
      </w:r>
    </w:p>
    <w:p>
      <w:r>
        <w:t>IT: GE_GERICHTE AC/474/2014 del 6 agosto 2015</w:t>
      </w:r>
    </w:p>
    <w:p>
      <w:pPr>
        <w:pStyle w:val="Heading2"/>
      </w:pPr>
      <w:r>
        <w:t>Regeste</w:t>
      </w:r>
    </w:p>
    <w:p>
      <w:r>
        <w:t>CHANCES DE SUCCÈS; DIVORCE; ACTION EN MODIFICATION</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primes d'assurance-maladie complémentaire sont exclues du calcul du minimum vital qui ne comprend que les seuls besoins de base (ATF 134 III 323 consid. 3).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(Normes d'insaisissabilité 2015). Les impôts ne doivent pas être pris en compte pour le calcul du minimum vital (ATF 126 III 89 , 92 et ss; arrêt du Tribunal fédéral du 17/11/2003, 7B.221/2003 ; Bulletin des préposés aux poursuites et faillites 2004, 85 et ss ; Normes d'insaisissabilité 2015).</w:t>
      </w:r>
    </w:p>
    <w:p>
      <w:r>
        <w:rPr>
          <w:b/>
        </w:rPr>
        <w:t>E. 2.2</w:t>
      </w:r>
    </w:p>
    <w:p>
      <w:r>
        <w:t>En l'espèce, c'est à juste titre que l'autorité de première instance n'a pas pris en compte les acomptes d'impôts et la prime d'assurance-maladie complémentaire du recourant qui ne constituent pas des charges incompressibles, ni la franchise de 10% pour les frais de maladie dont il n'a pas prouvé l'existence. L'assurance habitation est pour sa part d'ores et déjà comprise dans l'entretien de base selon les normes OP. En revanche, dès lors que le recourant est propriétaire de son logement, il devait être tenu compte des taxes foncières (852 Euros) et d'habitation (931 Euros), dont il n'est pas contesté qu'il s'acquitte. Par conséquent, les charges admissibles du recourant s'élèvent à 2'456 fr. (2'294 fr. admis par le premier juge + 77 fr. de taxe foncière, soit 851 Euros au taux de change / 12 mois au taux de change 1 Euros = 1 fr. 09 au 1er novembre 2015 selon le site internet http://www.fxtop.com + 85 fr. de taxe d'habitation, 931 Euros / 12 mois). Au vu de ce qui précède, le disponible mensuel du recourant dépasse encore de 471 fr. son minimum vital élargi de sorte que c'est à juste titre que l'autorité de première instance a jugé qu'il pouvait être raisonnablement exigé de lui qu'il rembourse l'intégralité des prestations de l'Etat, au besoin par mensualités.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18 août 2015 par A______ contre la décision rendue le 6 août 2015 par le Vice-président du Tribunal civil dans la cause AC/474/2014.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