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AC/4256/2018 vom 17. April 2020</w:t>
      </w:r>
    </w:p>
    <w:p>
      <w:r>
        <w:t>GE Cour de justice, 2020-04-17, FR</w:t>
      </w:r>
    </w:p>
    <w:p>
      <w:r>
        <w:rPr>
          <w:b/>
        </w:rPr>
        <w:t xml:space="preserve">Quelle: </w:t>
      </w:r>
      <w:r>
        <w:t>https://mcp.opencaselaw.ch/entscheid/ge_gerichte_AC_4256_2018</w:t>
      </w:r>
    </w:p>
    <w:p>
      <w:r>
        <w:t>FR: GE_GERICHTE AC/4256/2018 du 17 avril 2020</w:t>
      </w:r>
    </w:p>
    <w:p>
      <w:r>
        <w:t>IT: GE_GERICHTE AC/4256/2018 del 17 aprile 2020</w:t>
      </w:r>
    </w:p>
    <w:p>
      <w:pPr>
        <w:pStyle w:val="Heading2"/>
      </w:pPr>
      <w:r>
        <w:t>Erwägungen</w:t>
      </w:r>
    </w:p>
    <w:p>
      <w:r>
        <w:rPr>
          <w:b/>
        </w:rPr>
        <w:t>E. 1</w:t>
      </w:r>
    </w:p>
    <w:p>
      <w:r>
        <w:t>1.1. La décision entreprise est sujette à recours auprès du président de la Cour de justice en tant qu'elle refuse un changement d'avocat (art. 14 RAJ; art. 121 CPC et art. 21 al. 3 LaCC), compétence déléguée au vice-président soussigné (art. 29 al. 5 LOJ; arrêt du Tribunal fédéral 2D_6/2012 du 31 juillet 2012 consid. 2). Le recours, écrit et motivé, est introduit auprès de l'instance de recours (art. 32 al. 1 CPC) dans un délai de dix jours (art. 321 al. 2 CPC et 11 RAJ).</w:t>
      </w:r>
    </w:p>
    <w:p>
      <w:r>
        <w:rPr>
          <w:b/>
        </w:rPr>
        <w:t>E. 1.2</w:t>
      </w:r>
    </w:p>
    <w:p>
      <w:r>
        <w:t>En l'espèce, bien que le recourant n'ait pas pris de conclusions formelles, l'on comprend qu'il sollicite l'annulation de la décision entreprise.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pièces nouvelles et les allégués de faits dont la recourante n'a pas fait état en première instance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w:t>
      </w:r>
    </w:p>
    <w:p>
      <w:r>
        <w:rPr>
          <w:b/>
        </w:rPr>
        <w:t>E. 3.2</w:t>
      </w:r>
    </w:p>
    <w:p>
      <w:r>
        <w:t>En l'espèce, Me C______ a été désigné aux fins de représenter le recourant dans le cadre d'une procédure en divorce. S'il est avéré que la communication entre le recourant et son conseil a été difficile, notamment du fait que le premier s'exprime en anglais, il n'en reste pas moins que Me C______ a préparé le projet de demande de divorce, après que le recourant lui ait fourni les documents requis, et qu'il l'a soumis à ce dernier au mois de novembre 2019. Aucun reproche d'inactivité ne peut donc être formulé à Me C______ et le recourant ne critique pas le contenu du document qui lui a été soumis par son conseil. On comprend bien que le recourant aurait voulu que sa cause soit traitée plus rapidement qu'elle ne l'a été. Cela étant, dans une procédure de divorce il est nécessaire que certains documents soient déposés faute de quoi le Tribunal n'est pas en mesure de statuer. C'est donc à juste titre que Me C______ a insisté auprès du recourant pour qu'il lui fournisse tous les documents nécessaires avant que l'acte ne soit rédigé, puis, après approbation, déposé. En appel, le recourant ne conclut plus à ce qu'un nouvel avocat lui soit désigné. Il fait valoir uniquement valoir qu'il préfère se défendre personnellement plutôt que d'être représenté par Me C______. Ce dernier sera donc relevé de ses fonctions. Il est toutefois précisé que dès lors que le recourant a échoué à rendre vraisemblable que ses intérêts auraient été mal défendus par l'avocat désigné d'office - et qu'ainsi les conditions posées par l'art. 14 RAJ pour un changement d'avocat ne sont pas réalisées -, la nomination d'un nouveau conseil lui sera refusée à l'avenir.</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27 avril 2020 par A______ contre la décision rendue le 17 avril 2020 par la Vice-présidente du Tribunal de première instance dans la cause AC/4256/2018. Au fond : Annule cette décision. Relève Me C______ de ses fonctions. Déboute A______ de toutes autres conclusions. Dit qu'il n'est pas perçu de frais judiciaires pour le recours. Notifie une copie de la présente décision à A______ (art. 327 al. 5 CPC et 8 al. 3 RAJ). Notifie une copie de la présente décision M e C______.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