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AC/4100/2019 vom 3. Januar 2020</w:t>
      </w:r>
    </w:p>
    <w:p>
      <w:r>
        <w:t>GE Cour de justice, 2020-01-03, FR</w:t>
      </w:r>
    </w:p>
    <w:p>
      <w:r>
        <w:rPr>
          <w:b/>
        </w:rPr>
        <w:t xml:space="preserve">Quelle: </w:t>
      </w:r>
      <w:r>
        <w:t>https://mcp.opencaselaw.ch/entscheid/ge_gerichte_AC_4100_2019</w:t>
      </w:r>
    </w:p>
    <w:p>
      <w:r>
        <w:t>FR: GE_GERICHTE AC/4100/2019 du 3 janvier 2020</w:t>
      </w:r>
    </w:p>
    <w:p>
      <w:r>
        <w:t>IT: GE_GERICHTE AC/4100/2019 del 3 gennaio 2020</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faits dont le recourant n'a pas fait état en première instance et les pièces nouvelles ne seront pas pris en considération.</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Les primes d'assurance-maladie complémentaire sont exclues du calcul du minimum vital qui ne comprend que les seuls besoins de base (ATF 134 III 323 consid. 3). Il incombe au requérant d'indiquer de manière complète et d'établir autant que faire se peut ses revenus, sa situation de fortune et ses charges (art. 119 al. 2 CPC et 7 al. 2 RAJ; ATF 135 I 221 consid. 5.1; arrêt du Tribunal fédéral 2C_585/2015 du 30 novembre 2015 consid. 5).</w:t>
      </w:r>
    </w:p>
    <w:p>
      <w:r>
        <w:rPr>
          <w:b/>
        </w:rPr>
        <w:t>E. 3.2</w:t>
      </w:r>
    </w:p>
    <w:p>
      <w:r>
        <w:t>En l'espèce, le recourant reproche à l'Autorité de première instance de ne pas avoir tenu compte de sa baisse de salaire. Or, cet élément, non soumis au premier juge, est irrecevable en procédure de recours, de même que les pièces s'y rapportant (cf. ch. 2 ci-dessus). Par ailleurs, c'est à juste titre qu'il n'a pas été tenu compte de la prime d'assurance-maladie complémentaire, laquelle ne constitue pas une charge incompressible. Compte tenu des faits portés à sa connaissance, c'est à bon droit que la Vice-présidente du Tribunal de première instance a rejeté la requête d'assistance juridique au motif que la condition d'indigence n'était pas remplie, les revenus du recourant dépassant de 987 fr. le minimum vital élargi en vigueur à Genève. Partant, le recours, infondé, sera par conséquent rejeté.</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par A______ contre la décision rendue le 3 janvier 2020 par la Vice-présidente du Tribunal de première instance dans la cause AC/4100/2019.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