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AC/4075/2019 vom 14. Januar 2020</w:t>
      </w:r>
    </w:p>
    <w:p>
      <w:r>
        <w:t>GE Cour de justice, 2020-01-14, FR</w:t>
      </w:r>
    </w:p>
    <w:p>
      <w:r>
        <w:rPr>
          <w:b/>
        </w:rPr>
        <w:t xml:space="preserve">Quelle: </w:t>
      </w:r>
      <w:r>
        <w:t>https://mcp.opencaselaw.ch/entscheid/ge_gerichte_AC_4075_2019</w:t>
      </w:r>
    </w:p>
    <w:p>
      <w:r>
        <w:t>FR: GE_GERICHTE AC/4075/2019 du 14 janvier 2020</w:t>
      </w:r>
    </w:p>
    <w:p>
      <w:r>
        <w:t>IT: GE_GERICHTE AC/4075/2019 del 14 gennaio 2020</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2C_585/2015 du 30 novembre 2015 consid. 5). Le devoir d'aider son partenaire de vie, partie à une procédure judiciaire, par le versement d'une avance de frais judiciaires est de nature conjugale, de sorte qu'il ne concerne que les époux, non les concubins. Cependant, le fait de l'existence d'un ménage commun peut être pris en considération dans le calcul des besoins du concubin partie à un procès (ATF 142 III 36 consid. 2.3). La jurisprudence considère que le concubinage dont sont issus un ou plusieurs enfants communs implique, dans le domaine de l'assistance judiciaire, que les ressources et les charges du concubin requérant soient calculées comme le sont celles d'un conjoint requérant. Pour l'essentiel, les partenaires sont traités de la même manière qu'une communauté familiale. Il y a donc lieu de faire un calcul global prenant en compte les revenus nets des deux concubins, le montant mensuel de base applicable aux époux, ainsi que l'ensemble des charges de la communauté formée par les partenaires (arrêt du Tribunal fédéral 8C_1008/2012 du 24 mai 2013 consid. 3.3.3).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w:t>
      </w:r>
    </w:p>
    <w:p>
      <w:r>
        <w:rPr>
          <w:b/>
        </w:rPr>
        <w:t>E. 3.2</w:t>
      </w:r>
    </w:p>
    <w:p>
      <w:r>
        <w:t>En l'espèce, le recourant reproche principalement au premier juge d'avoir fait masse des ressources et charges de toutes les personnes faisant ménage commun avec lui pour examiner la question de l'indigence. Selon lui, il ne serait pas justifié de le traiter, avec sa compagne, comme un couple marié, puisque seuls les postes relatifs à l'entretien de base OP, au loyer et à l'entretien de E______ sont partagés par deux, le reste des charges étant assumé par chacun des concubins. Le grief du recourant est cependant infondé. En effet, dans la mesure où l'intéressé et sa compagne vivent ensemble, avec leur fils commun, ils doivent être traités de la même manière qu'une communauté familiale. C'est donc à juste titre, conformément à la jurisprudence rappelée ci-dessus, que l'autorité de première instance a analysé la condition de l'indigence en tenant compte des revenus nets des deux concubins, y compris les allocations familiales, du montant mensuel OP (comprenant notamment les frais allégués de H______ [prêt garantie de loyer]) applicable aux époux, ainsi que de l'ensemble des charges du ménage. A noter que cette manière de procéder n'a pas pour effet que les allocations familiales destinées à G______ soient utilisées pour couvrir les frais de procédure du recourant, puisque leur montant (300 fr.) ne suffit même pas à couvrir son entretien de base OP (400 fr./2, vu la garde partagée), ses frais de cuisine scolaire (125 fr. par mois), ses frais de déplacement et sa participation aux frais de logement. Par ailleurs, la charge de loyer liée au parking a bien été prise en compte, contrairement à ce que fait valoir le recourant. Bien qu'invoquée devant le premier juge, la baisse du taux d'activité de la compagne du recourant ne peut être retenue, puisqu'aucun élément du dossier n'indique que son employeur l'a acceptée. C'est donc à juste titre qu'il a été tenu compte du salaire perçu par l'intéressée pour une activité exercée à temps complet. Enfin, en tenant compte des frais de crèche allégués (soit 400 fr. par mois) à partir du mois d'avril 2020, lorsque la compagne du recourant aura repris le travail au terme de son congé maternité, cela porterait les charges admissibles du ménage à 11'057 fr. (400 fr. + 10'657 fr. de charges retenues par le premier juge). Le budget du ménage présenterait encore un solde positif de 1'128 fr. (12'185 fr. - 11'057 fr.), de sorte que la condition d'indigence ne serait toujours pas remplie. Compte tenu de l'ensemble de ce qui précède, le recours, infondé,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 PAR CES MOTIFS, LE VICE-PRÉSIDENT DE LA COUR : A la forme : Déclare recevable le recours formé par A______ contre la décision rendue le 14 janvier 2020 par la Vice-présidente du Tribunal de première instance dans la cause AC/4075/2019. Au fond : Le rejette. Déboute A______ de toutes autres conclusions. Dit qu'il n'est pas perçu de frais judiciaires pour le recours, ni alloué de dépens. Notifie une copie de la présente décision à A______ en l'Étude de M e Anik PIZZI (art. 137 CPC). Siégeant : Monsieur Patrick CHENAUX, Vice-président;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