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AC/400/2019 vom 15. Juli 2019</w:t>
      </w:r>
    </w:p>
    <w:p>
      <w:r>
        <w:t>GE Cour de justice, 2019-07-15, FR</w:t>
      </w:r>
    </w:p>
    <w:p>
      <w:r>
        <w:rPr>
          <w:b/>
        </w:rPr>
        <w:t xml:space="preserve">Quelle: </w:t>
      </w:r>
      <w:r>
        <w:t>https://mcp.opencaselaw.ch/entscheid/ge_gerichte_AC_400_2019</w:t>
      </w:r>
    </w:p>
    <w:p>
      <w:r>
        <w:t>FR: GE_GERICHTE AC/400/2019 du 15 juillet 2019</w:t>
      </w:r>
    </w:p>
    <w:p>
      <w:r>
        <w:t>IT: GE_GERICHTE AC/400/2019 del 15 luglio 2019</w:t>
      </w:r>
    </w:p>
    <w:p>
      <w:pPr>
        <w:pStyle w:val="Heading2"/>
      </w:pPr>
      <w:r>
        <w:t>Erwägungen</w:t>
      </w:r>
    </w:p>
    <w:p>
      <w:r>
        <w:rPr>
          <w:b/>
        </w:rPr>
        <w:t>E. 1.1</w:t>
      </w:r>
    </w:p>
    <w:p>
      <w:r>
        <w:t>Les décisions de remboursement prises par le 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2.2</w:t>
      </w:r>
    </w:p>
    <w:p>
      <w:r>
        <w:t>En l'espèce, la recourante n'explique pas pour quelle raison la somme de 12'000 fr. perçue en exécution de la transaction conclue le 11 juin 2019 à l'audience de conciliation, laquelle inclut le versement de ses salaires de février à avril 2019, ne devrait pas être partiellement consacrée au remboursement du montant de 5'335 fr. 20 versé par l'Etat à son conseil juridique pour la procédure prud'homale en cause, ce d'autant moins que la décision d'octroi d'assistance juridique du 29 mars 2019 avait attiré son attention sur le fait que les montants éventuellement obtenus en exécution d'une transaction seraient prioritairement affectés au remboursement des prestations avancées par l'Etat. Par ailleurs, elle ne conteste pas que la situation matérielle de son ménage se soit également améliorée, de sorte que le disponible mensuel d'au moins 578 fr. lui permet aussi de rembourser les prestations avancées par l'Etat, par mensualités. Il s'ensuit que le Président du Tribunal civil n'a pas violé la loi en condamnant la recourante au remboursement du montant de 5'335 fr. 20. Partant, le recours, infondé, sera rejeté. La recourante pourra, le cas échéant, demander à payer cette somme par mensualités, en convenant d'un arrangement de paiement avec les Services financiers du Pouvoir judiciaire.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15 juillet 2019 par le Président du Tribunal civil dans la cause AC/400/2019.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