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AC/385/2011 vom 11. März 2011</w:t>
      </w:r>
    </w:p>
    <w:p>
      <w:r>
        <w:t>GE Cour de justice, 2011-03-11, FR</w:t>
      </w:r>
    </w:p>
    <w:p>
      <w:r>
        <w:rPr>
          <w:b/>
        </w:rPr>
        <w:t xml:space="preserve">Quelle: </w:t>
      </w:r>
      <w:r>
        <w:t>https://mcp.opencaselaw.ch/entscheid/ge_gerichte_AC_385_2011</w:t>
      </w:r>
    </w:p>
    <w:p>
      <w:r>
        <w:t>FR: GE_GERICHTE AC/385/2011 du 11 mars 2011</w:t>
      </w:r>
    </w:p>
    <w:p>
      <w:r>
        <w:t>IT: GE_GERICHTE AC/385/2011 del 11 marzo 2011</w:t>
      </w:r>
    </w:p>
    <w:p>
      <w:pPr>
        <w:pStyle w:val="Heading2"/>
      </w:pPr>
      <w:r>
        <w:t>Regeste</w:t>
      </w:r>
    </w:p>
    <w:p>
      <w:r>
        <w:t>MANDATAIRE | RAJ.8.3; RAJ.12; CPC.68.2.A; CPC.68.2.D; CPC.118.1.C; LPA.9; LPA.10.2; LaCC.10</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2.1</w:t>
      </w:r>
    </w:p>
    <w:p>
      <w:r>
        <w:t>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La juridiction de recours n'entre pas en matière sur un acte ne contenant aucune motivation par laquelle il est possible de discerner en quoi la juridiction inférieure a erré (art. 322 al. 1 in fine CPC).</w:t>
      </w:r>
    </w:p>
    <w:p>
      <w:r>
        <w:rPr>
          <w:b/>
        </w:rPr>
        <w:t>E. 2.2</w:t>
      </w:r>
    </w:p>
    <w:p>
      <w:r>
        <w:t>L'assistance judiciaire comprend notamment la commission d'office d'un conseil juridique par le tribunal […] (art. 118 al. 1 let. c CPC). La notion de conseil juridique est définie à l'art. 12 RAJ qui dispose que le conseil juridique peut être un avocat ou un mandataire professionnellement qualifié au sens de l'art. 10 LaCC. À teneur de cet article,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Par ailleurs, il y a lieu d'appliquer les dispositions du CPC à toute requête d'assistance juridique (art. 8 al. 3 RAJ). Aussi, selon l'art. 68 al. 2 let. a CPC, sont autorisés à représenter les parties à titre professionnel dans toutes les procédures, les avocats autorisés à pratiquer la représentation en justice devant les tribunaux suisses en vertu de la loi sur la libre circulation des avocats (LLCA). Toutefois, une exception en faveur des mandataires professionnellement qualifiés devant les juridictions spéciales en matière de contrat de travail et de contrat de bail est admise (art. 68 al. 2 let. d CPC). Par conséquent, ont le droit d'être rémunérés par l'État les mandataires professionnellement qualifiés qui agissent devant la commission de conciliation en matière de baux et loyers, le Tribunal des baux et loyers et le Tribunal des prud'hommes, ainsi que devant la Chambre des baux et loyers et la Chambre des prud'hommes de la Cour de justice.</w:t>
      </w:r>
    </w:p>
    <w:p>
      <w:r>
        <w:rPr>
          <w:b/>
        </w:rPr>
        <w:t>E. 2.3</w:t>
      </w:r>
    </w:p>
    <w:p>
      <w:r>
        <w:t>Cela étant, quand bien même l'art. 9 al. 1 LPA dispose que les parties peuvent se faire représenter par un mandataire professionnellement qualifié pour la cause dont il s'agit, l'art. 10 al. 2 LPA, précise que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w:t>
      </w:r>
    </w:p>
    <w:p>
      <w:r>
        <w:rPr>
          <w:b/>
        </w:rPr>
        <w:t>E. 2.4</w:t>
      </w:r>
    </w:p>
    <w:p>
      <w:r>
        <w:t>En l'espèce, c'est à juste titre que l'autorité de première instance a rejeté la requête d'assistance juridique. En effet, quand bien même B______, pour le compte de l'A______, est autorisée à représenter le recourant en qualité de mandataire professionnellement qualifié (art. 9 al. 1 LPA) devant la Chambre des assurances sociales de la Cour de justice, il y a lieu d'examiner le droit de cette dernière à être rémunérée par l'État. Aussi, conformément à l'art. 10 LaCC par renvoi de l'art. 12 RAJ, B______ pour l'A______ n'est pas un mandataire professionnellement qualifié au sens du CPC, applicable à toutes les demandes d'AJ (art. 8 al. 3 RAJ). Cette solution est d'ailleurs conforme à l'art. 10 al. 2 LPA qui dispose expressément que le président du Tribunal civil accorde l'assistance juridique à toute personne indigente pour lui assurer l'aide et les conseils d'un avocat ou d'un avocat stagiaire lorsque ceux-ci sont nécessaires. Au vu de ce qui précède, l'autorité de première instance n'a pas violé le droit en refusant l'assistance juridique au recourant. Par conséquent, le recours doit être rejeté. PAR CES MOTIFS, LE VICE-PRÉSIDENT DE LA COUR : À la forme : Déclare recevable le recours formé par M______ contre la décision rendue le 11 mars 2011 par le Vice-président du Tribunal civil dans la cause AC/385/2011. Au fond : Le rejette. Déboute M______ de toutes autres conclusions. Notifie une copie de la présente décision à M______. Siégeant : Monsieur François CHAIX, Vice-président ; Monsieur Jacques GUERTLER, greffier. Indication des voies de recours : Conformément aux art. 82 ss de la loi fédérale sur le Tribunal fédéral du 17 juin 2005 (LTF :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