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AC/384/2023 vom 6. März 2023</w:t>
      </w:r>
    </w:p>
    <w:p>
      <w:r>
        <w:t>GE Cour de justice, 2023-03-06, FR</w:t>
      </w:r>
    </w:p>
    <w:p>
      <w:r>
        <w:rPr>
          <w:b/>
        </w:rPr>
        <w:t xml:space="preserve">Quelle: </w:t>
      </w:r>
      <w:r>
        <w:t>https://mcp.opencaselaw.ch/entscheid/ge_gerichte_AC_384_2023</w:t>
      </w:r>
    </w:p>
    <w:p>
      <w:r>
        <w:t>FR: GE_GERICHTE AC/384/2023 du 6 mars 2023</w:t>
      </w:r>
    </w:p>
    <w:p>
      <w:r>
        <w:t>IT: GE_GERICHTE AC/384/2023 del 6 marzo 2023</w:t>
      </w:r>
    </w:p>
    <w:p>
      <w:pPr>
        <w:pStyle w:val="Heading2"/>
      </w:pPr>
      <w:r>
        <w:t>Erwägungen</w:t>
      </w:r>
    </w:p>
    <w:p>
      <w:r>
        <w:rPr>
          <w:b/>
        </w:rPr>
        <w:t>E. 1.1</w:t>
      </w:r>
    </w:p>
    <w:p>
      <w:r>
        <w:t>La décision entreprise est sujette à recours auprès du président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le recourant n'a pas fait état en première instance et les pièces nouvelles produites à l'appui de son recours du 6 avril 2023 et par courrier du 31 août 2023 ne seront pas pris en considération.</w:t>
      </w:r>
    </w:p>
    <w:p>
      <w:r>
        <w:rPr>
          <w:b/>
        </w:rPr>
        <w:t>E. 3.1</w:t>
      </w:r>
    </w:p>
    <w:p>
      <w:r>
        <w:t>Le droit d'être entendu garanti par les art. 29 al. 2 Cst.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(ATF 145 I 73 consid. 7.2.2.1;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(ATF 126 I 15 consid. 2a/aa; 124 I 49 consid. 3a; arrêt du Tribunal fédéral 4A_401/2022 du 14 février 2023 consid. 5.1; 4A_364/2015 du 13 avril 2016 consid. 2.2 non publié aux ATF 142 III 355 ). ![endif]&gt;![if&gt; Le droit d'être entendu – dont le respect doit être examiné en premier lieu – est un grief de nature formelle dont la violation entraîne l'annulation de la décision attaquée indépendamment des chances de succès du recours sur le fond (ATF 141 V 495 consid. 2.2; 127 V 431 consid. 3d/aa). L'admission du grief conduit au renvoi de la cause à l'instance précédente pour nouvelle décision (ATF 134 III 379 consid. 1.3; arrêt du Tribunal fédéral 5D_19/2018 du 14 février 2018 consid. 2.2).</w:t>
      </w:r>
    </w:p>
    <w:p>
      <w:r>
        <w:rPr>
          <w:b/>
        </w:rPr>
        <w:t>E. 3.2</w:t>
      </w:r>
    </w:p>
    <w:p>
      <w:r>
        <w:t>En l'espèce, quand bien même le recourant aurait déjà disposé d'un délai pour compléter sa requête, le greffe de l'assistance juridique lui a fixé un délai supplémentaire échéant au 20 mars 2023 pour fournir des renseignements complémentaires et évaluer les chances de succès de sa cause. L'autorité de première instance ayant statué sur la demande du recourant avant l'échéance dudit délai, c'est à juste titre que celui-ci se plaint d'une violation de son droit d'être entendu. Dans la mesure où la violation du droit d'être entendu ne peut pas être réparée par l'Autorité de céans, celle-ci ne disposant pas d'un pouvoir d'examen aussi étendu que le premier juge, la décision querellée sera annulée et la cause renvoyée à la vice-présidence du Tribunal civil pour instruction complémentaire et nouvelle décision, un délai devant être imparti au recourant pour compléter son dossier (cf. art. 69 al. 3 LPA, applicable par renvoi de l'art. 25 RAJ).</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6 avril 2023 par A______ contre la décision rendue le 6 mars 2023 par la vice-présidence du Tribunal civil dans la cause AC/384/2023. Au fond : Annule la décision entreprise et cela fait : Renvoie la cause à la vice-présidence du Tribunal civil pour instruction complémentaire et nouvelle décision.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