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AC/3835/2016 vom 7. Februar 2017</w:t>
      </w:r>
    </w:p>
    <w:p>
      <w:r>
        <w:t>GE Cour de justice, 2017-02-07, FR</w:t>
      </w:r>
    </w:p>
    <w:p>
      <w:r>
        <w:rPr>
          <w:b/>
        </w:rPr>
        <w:t xml:space="preserve">Quelle: </w:t>
      </w:r>
      <w:r>
        <w:t>https://mcp.opencaselaw.ch/entscheid/ge_gerichte_AC_3835_2016</w:t>
      </w:r>
    </w:p>
    <w:p>
      <w:r>
        <w:t>FR: GE_GERICHTE AC/3835/2016 du 7 février 2017</w:t>
      </w:r>
    </w:p>
    <w:p>
      <w:r>
        <w:t>IT: GE_GERICHTE AC/3835/2016 del 7 febbraio 2017</w:t>
      </w:r>
    </w:p>
    <w:p>
      <w:pPr>
        <w:pStyle w:val="Heading2"/>
      </w:pPr>
      <w:r>
        <w:t>Regeste</w:t>
      </w:r>
    </w:p>
    <w:p>
      <w:r>
        <w:t>CHANCES DE SUCCÈS ; DROIT DES ÉTRANGERS</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142 al. 3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2.2.1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(arrêt du Tribunal fédéral 2C_963/2015 du 29 février 2016 consid. 4.2).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et les arrêts cités). Dans le cadre de l'examen de la proportionnalité de la mesure (art. 8 par. 2 CEDH et art. 13 cum art. 36 Cst.), il faut aussi tenir compte de l'intérêt fondamental de l'enfant à pouvoir grandir en jouissant d'un contact étroit avec ses deux parents (arrêt du Tribunal fédéral 2C_516/2015 du 28 décembre 2015 consid. 4.2 et les références citées). 2.2.2 Le Tribunal fédéral a considéré qu'une personne attente « de manière très grave » à la sécurité et à l'ordre publics au sens de l'art. 63 al. 1 let. b LEtr lorsque ses actes lèsent ou compromettent des biens juridiques particulièrement importants comme l'intégrité corporelle, physique ou sexuelle. Tel est aussi le cas lorsque les actes individuels ne justifient pas en eux-mêmes une révocation mais que leur répétition montre que la personne concernée n'est pas prête à se conformer à l'ordre en vigueur (ATF 137 II 297 consid. 3.2). Il en résulte que la commission de nombreux délits peut suffire si un examen d'ensemble du comportement de l'intéressé démontre objectivement que celui-ci n'est pas capable de respecter l'ordre établi (arrêts du Tribunal fédéral 2C_273/2010 du 6 octobre 2010 consid. 3.2 ; 2C_847/2009 du 21 juillet 2010 consid. 2.1).</w:t>
      </w:r>
    </w:p>
    <w:p>
      <w:r>
        <w:rPr>
          <w:b/>
        </w:rPr>
        <w:t>E. 2.3</w:t>
      </w:r>
    </w:p>
    <w:p>
      <w:r>
        <w:t>En l'espèce, les actes délictueux du recourant, si répréhensibles soient-ils, n'ont pas attenté "de manière très grave" à la sécurité et à l'ordre publics suisses. Cela étant, au vu de leur fréquence et du fait qu'une procédure pénale est actuellement pendante contre le recourant, il paraît peu vraisemblable que le TAPI considère que l’intérêt privé de ce dernier à rester en Suisse l’emporte sur l’intérêt public à son éloignement. Au regard des principes rappelés ci-dessus, il semble ainsi peu probable qu'une autorisation de séjour soit accordée au recourant sur la base de la protection conférée par l'art. 8 CEDH. D'ailleurs, quand bien même le recourant semble, à première vue, entretenir un lien affectif fort avec sa fille, qui réside à Genève, rien ne l'empêcherait de maintenir des contacts réguliers avec elle en ayant, comme par le passé, un domicile en France voisine. Par conséquent, c'est à bon droit que la Vice-présidente du Tribunal civil a refusé d'octroyer l'assistance juridique au recourant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 PAR CES MOTIFS, LE VICE-PRÉSIDENT DE LA COUR : A la forme : Déclare recevable le recours formé par A______ contre la décision rendue le 7 février 2017 par la Vice-présidente du Tribunal civil dans la cause AC/3835/2016. Au fond : Le rejette. Déboute A______ de toutes autres conclusions. Dit qu'il n'est pas perçu de frais judiciaires pour le recours, ni alloué de dépens. Notifie une copie de la présente décision à A______ en l'Étude de M e Samir DJAZIRI (art. 137 CPC). Siégeant : Monsieur Patrick CHENAUX, vice-président; Monsieur David VAZQUEZ, commis-greffier. Indication des voies de recours : La présente décision incidente peut être portée dans les trente jours qui suivent sa notification par-devant le Tribunal fédéral par la voie du recours constitutionnel subsidiaire (cf. art. 83 let. c LTF), aux conditions posées par les art. 113 ss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