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AC/3723/2017 vom 15. Juli 2019</w:t>
      </w:r>
    </w:p>
    <w:p>
      <w:r>
        <w:t>GE Cour de justice, 2019-07-15, FR</w:t>
      </w:r>
    </w:p>
    <w:p>
      <w:r>
        <w:rPr>
          <w:b/>
        </w:rPr>
        <w:t xml:space="preserve">Quelle: </w:t>
      </w:r>
      <w:r>
        <w:t>https://mcp.opencaselaw.ch/entscheid/ge_gerichte_AC_3723_2017</w:t>
      </w:r>
    </w:p>
    <w:p>
      <w:r>
        <w:t>FR: GE_GERICHTE AC/3723/2017 du 15 juillet 2019</w:t>
      </w:r>
    </w:p>
    <w:p>
      <w:r>
        <w:t>IT: GE_GERICHTE AC/3723/2017 del 15 luglio 2019</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(arrêts du Tribunal fédéral 6B_752/2017 du 18 janvier 2018 consid. 2 et 4A_410/2013 du 5 décembre 2013 consid. 3.2). Lorsque le requérant formule une véritable demande de reconsidération (Wieder-erwägungsgesuch),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w:t>
      </w:r>
    </w:p>
    <w:p>
      <w:r>
        <w:rPr>
          <w:b/>
        </w:rPr>
        <w:t>E. 2.2</w:t>
      </w:r>
    </w:p>
    <w:p>
      <w:r>
        <w:t>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 I 203 consid. 2c-g, in JdT 1997 I 604, arrêts du Tribunal fédéral 5A_849/2014 du 30 mars 2015 consid. 4.5 et 5A_181/2012 du 27 juin 2012 consid. 2.3.3).</w:t>
      </w:r>
    </w:p>
    <w:p>
      <w:r>
        <w:rPr>
          <w:b/>
        </w:rPr>
        <w:t>E. 2.3</w:t>
      </w:r>
    </w:p>
    <w:p>
      <w:r>
        <w:t>En l'espèce, contrairement à ce qu'a retenu l'autorité de première instance, la demande de la recourante ne constituait pas à proprement parler une demande de reconsidération, puisqu'elle n'était pas fondée sur le même état de fait que sa demande initiale d'assistance juridique. Le dépassement du quota d'heures d'activité d'avocat alloué par décision du 2 janvier 2018 constituait bien un fait nouveau justifiant qu'il soit entré en matière sur la demande d'extension sollicitée. Cela étant, la recourante perd de vue que toute demande d'assistance juridique, même dans le cas d'une extension du nombre d'heures d'activité d'avocat, est soumise au principe de non-rétroactivité, conformément aux règles rappelées ci-dessus. S'il est certes possible, à titre exceptionnel, d'accorder l'assistance juridique avec effet rétroactif, cela ne dispense pas le justiciable souhaitant en bénéficier de fournir les éléments pertinents permettant au juge d'estimer le bien-fondé d'une telle dérogation. Or, la recourante a requis l'extension de l'assistance juridique au moment où le décompte d'heures de son avocat faisait état de plus de 95 heures de travail, sans expliquer les motifs qui l'ont conduite à déposer sa demande de manière tardive. Elle n'a en particulier pas soutenu avoir été, en raison d'une situation d'urgence, dans l'impossibilité de déposer sa requête d'extension déjà au terme des 15 heures d'activité (hors audiences, courriers et téléphones) octroyées par la décision du 2 janvier 2018. Compte tenu de ce qui précède, la demande d'extension de l'assistance juridique aurait dû être rejetée - et non déclarée irrecevable - en tant qu'elle portait sur les heures déjà accomplies avant le dépôt de la demande et être admise pour l'activité à déployer à compter du 13 mai 2019, date du dépôt de la demande d'extension. A ce moment-là, la procédure prud'homale était terminée et les parties étaient dans l'attente d'un jugement. Une extension de deux heures d'activité d'avocat sera donc octroyée à la recourante, pour la prise de connaissance du jugement du Tribunal des prud'hommes et un entretien avec elle. Au vu de la solution adoptée, la décision querellée sera annulée et il sera statué conformément à ce qui précède.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15 juillet 2019 par le Vice-président du Tribunal civil dans la cause AC/3723/2017. Au fond : Annule la décision entreprise et cela fait : Met A______ au bénéfice de l'assistance juridique pour la procédure prud'homale contre C______ SÀRL, cause C/1______/2017, avec effet au 13 mai 2019, et commet à ces fins Me B______, avocat. Limite cet octroi à 2 heures d'activités d'avocat. Déboute A______ de toutes autres conclusions. Dit qu'il n'est pas perçu de frais judiciaires pour le recours. Notifie une copie de la présente décision à A______ en l'Étude de M e B______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