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AC/3714/2015 vom 2. Mai 2016</w:t>
      </w:r>
    </w:p>
    <w:p>
      <w:r>
        <w:t>GE Cour de justice, 2016-05-02, FR</w:t>
      </w:r>
    </w:p>
    <w:p>
      <w:r>
        <w:rPr>
          <w:b/>
        </w:rPr>
        <w:t xml:space="preserve">Quelle: </w:t>
      </w:r>
      <w:r>
        <w:t>https://mcp.opencaselaw.ch/entscheid/ge_gerichte_AC_3714_2015</w:t>
      </w:r>
    </w:p>
    <w:p>
      <w:r>
        <w:t>FR: GE_GERICHTE AC/3714/2015 du 2 mai 2016</w:t>
      </w:r>
    </w:p>
    <w:p>
      <w:r>
        <w:t>IT: GE_GERICHTE AC/3714/2015 del 2 maggio 2016</w:t>
      </w:r>
    </w:p>
    <w:p>
      <w:pPr>
        <w:pStyle w:val="Heading2"/>
      </w:pPr>
      <w:r>
        <w:t>Regeste</w:t>
      </w:r>
    </w:p>
    <w:p>
      <w:r>
        <w:t>LIMITATION(EN GÉNÉRAL); ACTIVITÉ; AVOCAT; RÉTROACTIVITÉ</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mai 2016. La décision du 18 avril 2016 a accordé 5 heures d'activité d'avocat à la recourante, avec effet au 23 mars 2016, et cette dernière n'allègue pas que son conseil aurait déjà déployé une activité depuis cette date dans le cadre de la procédure de mesures protectrices de l'union conjugale. Il s'ensuit que le Vice-président du Tribunal civil n'a pas consacré d'arbitraire en refusant d'accorder une seconde extension d'assistance juridique, celle-ci ne se justifiant pas, en l'état. Partant, le recours, infondé, sera rejeté.</w:t>
      </w:r>
    </w:p>
    <w:p>
      <w:r>
        <w:rPr>
          <w:b/>
        </w:rPr>
        <w:t>E. 2.1</w:t>
      </w:r>
    </w:p>
    <w:p>
      <w:r>
        <w:t>Reprenant l'art. 29 al. 3 Cst., l'art. 117 CPC prévoit que toute personne qui ne dispose pas de ressources suffisantes a droit à l'assistance judiciaire à moins que sa cause paraisse dépourvue de toute chance de succès.![endif]&gt;![if&gt; La requête d'assistance judiciaire peut être présentée avant ou pendant la litispendance (art. 119 al. 1 CPC). Aux termes de l'art. 5 al. 1 RAJ, l'assistance juridique est en principe octroyée avec effet au jour du dépôt de la requête. Elle est exceptionnellement accordée avec effet rétroactif (art. 119 al. 4 CPC et 8 al. 3 RAJ). A teneur de l'art. 118 al. 2 CPC, l'assistance judiciaire peut être accordée totalement ou partiellement. En application du principe de proportionnalité,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2.2</w:t>
      </w:r>
    </w:p>
    <w:p>
      <w:r>
        <w:t>En l'espèce, la recourante n'a pas recouru contre les décisions d'octroi partiel des 14 décembre 2015 et 18 avril 2016. Or, la seconde décision prévoyait expressément que l'octroi de 5 heures d'activité d'avocat supplémentaires prenait effet au 23 mars 2016, soit la date du dépôt de la demande d'extension d'assistance juridique. Si la recourante entendait contester le fait que l'assistance juridique ne lui soit pas octroyée rétroactivement de manière à couvrir également les 4 heures 10 dépassant le quota de 10 heures allouées initialement, il lui appartenait de recourir contre la décision du 18 avril 2016, ce qu'elle n'a pas fait. Cette décision est donc entrée en force et il n'est plus possible de la contester dans le cadre du recours contre la décision de refus du</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4).![endif]&gt;![if&gt; * * * * * PAR CES MOTIFS, LE VICE-PRÉSIDENT DE LA COUR : A la forme : Déclare recevable le recours formé par A______ contre la décision rendue le 2 mai 2016 par le Vice-président du Tribunal civil dans la cause AC/3714/2015. Au fond : Le rejette. Déboute A______ de toutes autres conclusions. Dit qu'il n'est pas perçu de frais judiciaires pour le recours, ni alloué de dépens. Notifie une copie de la présente décision à A______ en l'Étude de M e Sandy ZAECH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