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AC/3632/2016 vom 10. Januar 2017</w:t>
      </w:r>
    </w:p>
    <w:p>
      <w:r>
        <w:t>GE Cour de justice, 2017-01-10, FR</w:t>
      </w:r>
    </w:p>
    <w:p>
      <w:r>
        <w:rPr>
          <w:b/>
        </w:rPr>
        <w:t xml:space="preserve">Quelle: </w:t>
      </w:r>
      <w:r>
        <w:t>https://mcp.opencaselaw.ch/entscheid/ge_gerichte_AC_3632_2016</w:t>
      </w:r>
    </w:p>
    <w:p>
      <w:r>
        <w:t>FR: GE_GERICHTE AC/3632/2016 du 10 janvier 2017</w:t>
      </w:r>
    </w:p>
    <w:p>
      <w:r>
        <w:t>IT: GE_GERICHTE AC/3632/2016 del 10 gennaio 2017</w:t>
      </w:r>
    </w:p>
    <w:p>
      <w:pPr>
        <w:pStyle w:val="Heading2"/>
      </w:pPr>
      <w:r>
        <w:t>Regeste</w:t>
      </w:r>
    </w:p>
    <w:p>
      <w:r>
        <w:t>CHANCES DE SUCCÈS ; DIVORCE ; DÉSUNION</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nouveaux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3.2.1. Aux termes de l'art. 115 CC, un époux peut demander le divorce avant l'expiration du délai de deux ans (prévu par l'art. 114 CC), lorsque des motifs sérieux qui ne lui sont pas imputables rendent la continuation du mariage insupportable. Selon l'art. 292 CPC, qui régit la transformation en divorce sur requête commune, la suite de la procédure est régie par les dispositions relatives au divorce sur requête commune à condition que les époux: aient vécu séparés pendant moins de deux ans au début de la litispendance (let. a); aient accepté le divorce (let. b). L'art. 292 al. 1 CPC a remplacé l'art. 116 aCC, dont le but était d'empêcher tout débat sur les conditions des art. 114 ou 115 CC lorsque les parties étaient matériellement d'accord sur le principe du divorce. Si le défendeur refuse formellement la demande en divorce, mais introduit lui-même une action en divorce à un autre for, la jurisprudence relative à l'art. 116 aCC (arrêt du Tribunal fédéral 5A_523/2007 du 10 avril 2008 consid. 5.1 et 5.2) doit être reprise, à la différence que l'art. 292 al. 1 CPC est alors applicable directement, et non seulement par analogie: en effet, au contraire de l'art. 116 aCC, l'art. 292 al. 1 ne suppose plus une acceptation expresse, mais que le défendeur ait "accepté le divorce". Il peut tout aussi bien manifester ce consentement par le dépôt de sa propre action en divorce. Seul importe qu'il n'y ait pas de doute sur le fait que les deux époux veulent le divorce, et qu'il y ait ainsi accord matériel sur le principe même du divorce. En introduisant à un autre for sa propre action en divorce, le défendeur démontre sans équivoque qu'il souhaite lui aussi matériellement le divorce (ATF 139 III 482 consid. 3). 3.2.2. Selon l'art. 59 let. b LDIP, les tribunaux suisses du domicile de l'époux demandeur sont compétents pour connaître d'une action en divorce si celui-ci réside en Suisse depuis une année ou est suisse.</w:t>
      </w:r>
    </w:p>
    <w:p>
      <w:r>
        <w:rPr>
          <w:b/>
        </w:rPr>
        <w:t>E. 3.3</w:t>
      </w:r>
    </w:p>
    <w:p>
      <w:r>
        <w:t>En l'espèce, il est vrai que les conditions posées par l'art. 115 CC ne paraissent de prime abord pas réalisées. Cela étant, il résulte de l'état de fait présenté par la recourante que son mari avait l'intention d'entamer une procédure de répudiation, de sorte que l'on peut considérer qu'il est d'accord avec le principe de la dissolution de l'union conjugale. Au regard des principes rappelés ci-dessus, il ne paraît a priori pas impossible que la demande unilatérale de divorce déposée par la recourante devant le Tribunal de première instance soit traitée comme une requête commune des époux avec accord partiel. Dans cette mesure, la procédure introduite par la recourante ne paraît pas dénuée de toute chance de succès. Le recours sera donc admis, la décision querellée annulée et la cause renvoyée à la Vice-présidente du Tribunal civil pour instruction complémentaire sur la condition d'indigence et, cas échéant, octroi de l'assistance juridique à la recourante pour la procédure de divorce qu'elle a introduite.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10 janvier 2017 par la Vice-présidente du Tribunal civil dans la cause AC/3632/2016. Au fond : Annule la décision entreprise. Cela fait et statuant à nouveau : Renvoie la cause à la Vice-présidente du Tribunal civil pour instruction complémentaire et nouvelle décision. Déboute A______ de toutes autres conclusions. Dit qu'il n'est pas perçu de frais judiciaires pour le recours. Notifie une copie de la présente décision à A______ en l'Étude de M e Caroline KÖNEMANN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