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AC/359/2024 vom 19. Februar 2024</w:t>
      </w:r>
    </w:p>
    <w:p>
      <w:r>
        <w:t>GE Cour de justice, 2024-02-19, FR</w:t>
      </w:r>
    </w:p>
    <w:p>
      <w:r>
        <w:rPr>
          <w:b/>
        </w:rPr>
        <w:t xml:space="preserve">Quelle: </w:t>
      </w:r>
      <w:r>
        <w:t>https://mcp.opencaselaw.ch/entscheid/ge_gerichte_AC_359_2024</w:t>
      </w:r>
    </w:p>
    <w:p>
      <w:r>
        <w:t>FR: GE_GERICHTE AC/359/2024 du 19 février 2024</w:t>
      </w:r>
    </w:p>
    <w:p>
      <w:r>
        <w:t>IT: GE_GERICHTE AC/359/2024 del 19 febbraio 2024</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2.1.1.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L'autorité chargée de statuer sur l'assistance ne doit pas se substituer au juge du fond; tout au plus doit-elle examiner s'il y a des chances que le juge adopte la position soutenue par le requérant, chances qui doivent être plus ou moins équivalentes aux risques qu'il parvienne à la conclusion contraire (arrêt du Tribunal fédéral 4A_614/2015 du 25 avril 2016 consid. 3.2). L'absence de chances de succès peut résulter des faits ou du droit. L'assistance sera refusée s'il apparaît d'emblée que les faits pertinents allégués sont invraisemblables ou ne pourront pas être prouvés (arrêt du Tribunal fédéral 4A_614/2015 du 25 avril 2016 consid. 3.2). 2.1.2. Le tribunal n'entre en matière que sur les demandes et les requêtes qui satisfont aux conditions de recevabilité de l'action (art. 59 al. 1 CPC). Le demandeur doit, notamment, avoir un intérêt digne de protection (art. 59 al. 2 let. a CPC). Celui qui a pris part à la procédure devant l'autorité précédente ou a été privé de la possibilité de le faire est ainsi légitimé à recourir, pour autant qu'il dispose d'un intérêt digne de protection à l'annulation ou à la modification de la décision entreprise (cf. art. 59 al. 2 let. a CPC également applicable devant l'autorité d'appel; arrêt du Tribunal fédéral 5D_14/2020 du 28 octobre 2020 consid. 4.3.1 et les références citées). Cet intérêt doit être actuel (ATF 131 II 361 consid. 1.2; parmi plusieurs : arrêt du Tribunal fédéral 5A_52/2022 du 9 février 2022 consid. 3). Il doit exister non seulement au moment du dépôt du recours, mais encore au moment où l'arrêt est rendu (ATF 136 II 101 consid. 1.1; parmi plusieurs : arrêt du Tribunal fédéral 4A_306/2022 du 14 juillet 2022). L'absence d'intérêt digne de protection doit être relevée d'office, à tous les stades de la procédure (art. 60 CPC; ATF 130 III 430 consid. 3.1).</w:t>
      </w:r>
    </w:p>
    <w:p>
      <w:r>
        <w:rPr>
          <w:b/>
        </w:rPr>
        <w:t>E. 2.2</w:t>
      </w:r>
    </w:p>
    <w:p>
      <w:r>
        <w:t>En l'espèce, faute pour C______ SA d'avoir acquitté l'avance de 5'000 fr. dans le délai imparti, le Tribunal a, notamment, ordonné la dissolution de la société ainsi que sa liquidation. Il en résulte qu'à ce jour, il n'existe plus de commissaire représentant C______ SA, Me E______ ayant été nommé liquidateur, et que la question du paiement des 5'000 fr. à titre de provision pour les frais et honoraires du commissaire ne se pose plus. Au vu de ce qui précède, la recourante n'a vraisemblablement plus d'intérêt actuel à conclure à l'annulation d'une ordonnance qui a cessé de déployer ses effets. L'appel interjeté par la recourante et C______ SA le 5 février 2024 est ainsi, a priori , dépourvu de chances de succès. Par conséquent le recours sera rejeté.</w:t>
      </w:r>
    </w:p>
    <w:p>
      <w:r>
        <w:rPr>
          <w:b/>
        </w:rPr>
        <w:t>E. 3</w:t>
      </w:r>
    </w:p>
    <w:p>
      <w:r>
        <w:t>Sauf exceptions non réalisées en l'espèce, il n'est pas perçu de frais judiciaires pour la procédure d'assistance juridique (art. 119 al. 6 CPC). * * * * * PAR CES MOTIFS, LA VICE-PRÉSIDENTE DE LA COUR : A la forme : Déclare recevable le recours formé le 8 mars 2024 par A______ contre la décision rendue le 19 février 2024 par la vice-présidence du Tribunal civil dans la cause AC/ 359/2024. Préalablement : Ordonne l'apport de la procédure au fond. Au fond : Rejette le recours. Déboute A______ de toutes autres ou contraires conclusions. Dit qu'il n'est pas perçu de frais judiciaires pour le recours. Notifie une copie de la présente décision à A______ (art. 327 al. 5 CPC et 8 al. 3 RAJ).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dans les limites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