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AC/3597/2018 vom 14. November 2018</w:t>
      </w:r>
    </w:p>
    <w:p>
      <w:r>
        <w:t>GE Cour de justice, 2018-11-14, FR</w:t>
      </w:r>
    </w:p>
    <w:p>
      <w:r>
        <w:rPr>
          <w:b/>
        </w:rPr>
        <w:t xml:space="preserve">Quelle: </w:t>
      </w:r>
      <w:r>
        <w:t>https://mcp.opencaselaw.ch/entscheid/ge_gerichte_AC_3597_2018</w:t>
      </w:r>
    </w:p>
    <w:p>
      <w:r>
        <w:t>FR: GE_GERICHTE AC/3597/2018 du 14 novembre 2018</w:t>
      </w:r>
    </w:p>
    <w:p>
      <w:r>
        <w:t>IT: GE_GERICHTE AC/3597/2018 del 14 novembre 2018</w:t>
      </w:r>
    </w:p>
    <w:p>
      <w:pPr>
        <w:pStyle w:val="Heading2"/>
      </w:pPr>
      <w:r>
        <w:t>Regeste</w:t>
      </w:r>
    </w:p>
    <w:p>
      <w:r>
        <w:t>CHANCES DE SUCCÈS ; OPPOSITION(PROCÉDURE) ; ORDONNANCE DE SÉQUESTRE ; DÉBUT ; DÉLAI</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publié in RDAF 2017 I p. 336; 139 III 396 consid. 1.2 et les arrêts cités). L'absence de chances de succès peut résulter des faits ou du droit. L'assistance sera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et les arrêts cités; 133 III 614 consid. 5).</w:t>
      </w:r>
    </w:p>
    <w:p>
      <w:r>
        <w:rPr>
          <w:b/>
        </w:rPr>
        <w:t>E. 2.2</w:t>
      </w:r>
    </w:p>
    <w:p>
      <w:r>
        <w:t>A teneur de l'art. 278 al. 1 LP, celui dont les droits sont touchés par un séquestre peut former opposition auprès du juge dans les dix jours à compter de celui où il en a eu connaissance. La question, précédemment controversée, du dies a quo du délai d'opposition à séquestre, qui était celle de savoir à quel moment l'on pouvait admettre que le débiteur (ou le tiers) séquestré avait "connaissance" du séquestre, a été clairement tranchée dans un arrêt de principe du Tribunal fédéral, publié aux ATF 135 III 232 . Dans cet arrêt, le Tribunal fédéral a jugé que le délai pour former opposition courait à l'égard du débiteur séquestré - peu importe qu'il soit présent ou représenté au moment de l'exécution de la mesure - dès la notification, par lettre recommandée ou par remise directe contre reçu (art. 34 LP), du procès-verbal de séquestre au créancier et au débiteur et dès l'information aux tiers dont les droits sont touchés par le séquestre (art. 276 al. 2 LP; ATF 135 III 232 consid. 2.4; Gilliéron, Commentaire de la loi fédérale sur la poursuite pour dettes et la faillites, 2003, n° 29 ad art. 276 LP). Le Tribunal fédéral a souhaité privilégier la sécurité juridique après avoir écarté les critiques des tenants d'une solution plus pragmatique, jugeant que seule la notification officielle du procès-verbal de séquestre par l'Office des poursuites prévue par l'art. 276 al. 2 LP pouvait faire courir le délai d'opposition. Il importait peu que le débiteur ait été présent lors du séquestre ou qu'il ait eu accès personnellement, par le biais d'un représentant, au dossier du séquestre et en ait eu connaissance (ATF 135 III 232 consid. 2.4).</w:t>
      </w:r>
    </w:p>
    <w:p>
      <w:r>
        <w:rPr>
          <w:b/>
        </w:rPr>
        <w:t>E. 2.3</w:t>
      </w:r>
    </w:p>
    <w:p>
      <w:r>
        <w:t>En l'espèce, le procès-verbal de séquestre ayant été notifié au recourant au mois de mai 2015, ce que ce dernier ne conteste pas, son opposition à séquestre formée le 4 juillet 2018 est manifestement tardive. Les chances de succès de son recours déposé à l'encontre du jugement du Tribunal qui déclare son opposition irrecevable pour cause de tardiveté sont ainsi très faibles.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10 décembre 2018 par A______ contre la décision rendue le 14 novembre 2018 par le Vice-président du Tribunal civil dans la cause AC/3597/2018.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