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AC/3571/2020 vom 11. Januar 2021</w:t>
      </w:r>
    </w:p>
    <w:p>
      <w:r>
        <w:t>GE Cour de justice, 2021-01-11, FR</w:t>
      </w:r>
    </w:p>
    <w:p>
      <w:r>
        <w:rPr>
          <w:b/>
        </w:rPr>
        <w:t xml:space="preserve">Quelle: </w:t>
      </w:r>
      <w:r>
        <w:t>https://mcp.opencaselaw.ch/entscheid/ge_gerichte_AC_3571_2020</w:t>
      </w:r>
    </w:p>
    <w:p>
      <w:r>
        <w:t>FR: GE_GERICHTE AC/3571/2020 du 11 janvier 2021</w:t>
      </w:r>
    </w:p>
    <w:p>
      <w:r>
        <w:t>IT: GE_GERICHTE AC/3571/2020 del 11 gennaio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Le délai est respecté si le recours a été déposé auprès de l'autorité de seconde instance ou remis à son attention à la poste suisse ou à une représentation diplomatique ou consulaire suisse au plus tard le dernier jour du délai (art. 143 al. 1 CPC). Si le recours est introduit auprès d'une autorité intra- ou même extra cantonale non saisie de la cause, ou auprès d'une autorité fédérale, le délai ne peut être considéré comme respecté que si l'autorité incompétente transmet, dans le délai de recours encore, le mémoire à l'autorité compétente, ce à quoi elle n'est pas légalement tenue, mais qui selon les circonstances, peut lui être imposé par l'interdiction du formalisme excessif (ATF 140 III 636 [ 4A_476/2014 du 9 décembre 2014] consid. 3).</w:t>
      </w:r>
    </w:p>
    <w:p>
      <w:r>
        <w:rPr>
          <w:b/>
        </w:rPr>
        <w:t>E. 1.2</w:t>
      </w:r>
    </w:p>
    <w:p>
      <w:r>
        <w:t>En l'espèce, bien que le recours ait été adressé par erreur à la mauvaise autorité, celle-ci l'a transmis dans le délai de recours à la Cour de justice, de sorte qu'il doit être considéré qu'il est intervenu en temps utile. Par ailleurs, il convient également d'admettre que le recours respecte la forme prescrite par la loi malgré l'absence de conclusions formelles dès lors que l'on comprend que la recourante souhaite l'annulation de la décision entreprise et sa mise au bénéfice de l'assistance juridique. La recevabilité du recours sera en conséquence admise.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 Le devoir du juge, déduit de l'art. 56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5A_502/2017 du 15 août 2017 consid 3.2).</w:t>
      </w:r>
    </w:p>
    <w:p>
      <w:r>
        <w:rPr>
          <w:b/>
        </w:rPr>
        <w:t>E. 2.2</w:t>
      </w:r>
    </w:p>
    <w:p>
      <w:r>
        <w:t>En l'espèce, il n'est pas contesté que, malgré l'interpellation du greffe de l'assistance juridique, la recourante n'a pas fourni les renseignements et pièces nécessaires à l'appréciation des mérites de sa cause, violant ainsi son obligation de collaboration. Le recours est en conséquence mal fondé et doit être rejeté. Cela étant, la démarche de la recourante, consistant à s'adresser au greffe de l'assistance juridique pour exposer les motifs pour lesquels elle n'a pas répondu à la demande de renseignement du 9 décembre 2020 puis à fournir les renseignements sollicités, s'apparente, nonobstant son intitulé, davantage à une requête de restitution de délai au sens des art. 147 et 148 CPC qu'à un recours. Il appartient en conséquence à l'autorité de première instance de statuer sur cette demande.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11 janvier 2021 par la Vice-présidente du Tribunal de première instance dans la cause AC/3571/2020.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