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AC/3570/2017 vom 12. Dezember 2017</w:t>
      </w:r>
    </w:p>
    <w:p>
      <w:r>
        <w:t>GE Cour de justice, 2017-12-12, FR</w:t>
      </w:r>
    </w:p>
    <w:p>
      <w:r>
        <w:rPr>
          <w:b/>
        </w:rPr>
        <w:t xml:space="preserve">Quelle: </w:t>
      </w:r>
      <w:r>
        <w:t>https://mcp.opencaselaw.ch/entscheid/ge_gerichte_AC_3570_2017</w:t>
      </w:r>
    </w:p>
    <w:p>
      <w:r>
        <w:t>FR: GE_GERICHTE AC/3570/2017 du 12 décembre 2017</w:t>
      </w:r>
    </w:p>
    <w:p>
      <w:r>
        <w:t>IT: GE_GERICHTE AC/3570/2017 del 12 dicembre 2017</w:t>
      </w:r>
    </w:p>
    <w:p>
      <w:pPr>
        <w:pStyle w:val="Heading2"/>
      </w:pPr>
      <w:r>
        <w:t>Erwägungen</w:t>
      </w:r>
    </w:p>
    <w:p>
      <w:r>
        <w:rPr>
          <w:b/>
        </w:rPr>
        <w:t>E. 19</w:t>
      </w:r>
    </w:p>
    <w:p>
      <w:r>
        <w:t>décembre 2017 à la Présidence de la Cour de justice. Le recourant conclut à l'annulation de la décision entreprise et à l'octroi de l'assistance juridique pour la procédure de divorce susvisée, avec effet au 15 novembre 2017.![endif]&gt;![if&gt; b. Le Vice-président du Tribunal civil a renoncé à formuler des observations. E. Les faits pertinents suivants résultent de la procédure, notamment des pièces produites le 13 décembre 2017 : a. Le recourant exerce la profession de chauffeur de taxi indépendant. Selon son bilan 2016, son chiffre d'affaires a été de 51'672 fr., ses charges de 30'194 fr. et son bénéfice net de 23'878, soit un revenu mensuel net de 1'990 fr. environ b. Selon les extraits de compte bancaire produits, le recourant s'acquitte mensuellement de son loyer (848 fr.) et du loyer de sa place de parking (180 fr.) par virements bancaires. Entre les mois de juillet et novembre 2017, le recourant a retiré au total 14'710 fr. de son compte bancaire. Divers montants, totalisant 14'517 fr. 12, ont été crédités sur le compte du recourant durant la même période. Celui-ci perçoit en outre mensuellement 1'000 fr. d'allocations familiales. c. La copie du carnet de récépissés postaux du recourant pour les mois de juin à décembre 2017 atteste notamment de paiements de 446 fr. 35 par mois à l'assurance-maladie, 466 fr. 55 par mois à titre de leasing, 30 fr. d'impôts mensuels à l'Etat de Genève et environ 100 fr. à l'Etat de Vaud, des montants variant entre 700 et 1'000 fr. au SCARPA, 220 fr. par mois à une fiduciaire, 1'270 fr. 70 de prime d'assurance RC annuelle pour véhicule et 398 fr. 20 à la Caisse cantonale genevoise de compensation. Entre les mois de juillet et novembre 2017, les paiements en espèces effectués par le recourant à la Poste ont totalisé 14'683 fr. 45. d. D'après les documents comptables, le loyer du parking, les frais de fiduciaire et l'assurance de véhicule ont été pris en compte dans les charges professionnelles du recourant. Par ailleurs, les cotisations AVS ont été déduites pour obtenir le résultat de l'exercice. e. Il ressort de divers documents que le recourant rembourse mensuellement, depuis le mois de janvier 2017, un montant de 300 fr. à D______, laquelle lui avait prêté 5'400 fr. en décembre 2016 pour des réparations effectuées sur son taxi et pour la caution de sa garantie de loyer. EN DROIT 1. 1.1. 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Le fait que le recourant n'ait pas interjeté recours contre la décision du Vice-président du Tribunal civil du 2 janvier 2018 ne porte pas à conséquence, dès lors que cette seconde décision ne fait que rejeter la demande de reconsidération, mais n'a pas pour effet d'annuler et remplacer la décision refusant d'octroyer l'assistance juridique à l'intéressé.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2.2).![endif]&gt;![if&gt; Toute partie a droit à ce que le tribunal administre les moyens de preuve adéquats proposés régulièrement et en temps utile (art. 152 al. 1 CPC). Le droit à la preuve est une conséquence essentielle du droit d'être entendu (art. 53 CPC; Message du Conseil fédéral relatif au code de procédure civile suisse du 28 juin 2006, in FF 2006 p. 6922). Le droit d'être entendu est un grief de nature formelle, dont la violation entraîne l'annulation de la décision attaquée indépendamment des chances de succès du recours sur le fond (ATF 127 V 431 consid. 3d/aa). 2.2. En l'espèce, c'est à juste titre que le recourant se plaint d'une violation de son droit d'être entendu, l'autorité de première instance ayant statué sur sa demande d'assistance juridique avant l'échéance du délai qui lui avait été imparti pour produire des pièces et, par conséquent, sans tenir compte des documents produits le 13 décembre 2017. La violation du droit d'être entendu du recourant devrait conduire au renvoi de la cause à l'autorité de première instance pour nouvelle décision, compte tenu du pouvoir de cognition limité de l'autorité de céans. Cela étant, les pièces fournies le 13 décembre 2017 ont été prises en compte dans le cadre de la décision refusant la demande de reconsidération, le Vice-président du Tribunal civil ayant retenu que la situation financière présentée par le recourant était invraisemblable malgré les documents en question. Il s'ensuit qu'un renvoi de la cause au premier juge aurait uniquement pour effet de prolonger la procédure d'assistance juridique, par le prononcé d'une vraisemblable nouvelle décision de refus, suivie d'un nouveau recours. Dès lors, au regard des circonstances particulières du cas d'espèce, par économie de procédure, les pièces produites le 13 décembre 2017 devant le premier juge seront prises en considération dans le cadre du présent recours et il sera statué sur la requête d'assistance juridique sans renvoi de la cause au premier juge. 3. 3.1. 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3.2. En l'espèce, la comparaison sur plusieurs mois des montants retirés sur le compte bancaire du recourant (14'710 fr. entre juillet et novembre 2017) et les paiements effectués en espèces (14'683 fr. 45 sur la même période) ne permettent pas de considérer que le recourant aurait des ressources non déclarées. Si l'on se réfère aux montants crédités sur le compte bancaire du recourant (en dehors des allocations familiales), le revenu mensuel moyen de l'intéressé peut être estimé à 2'900 fr. (14'517 fr./5 mois, de juillet et novembre 2017). Cela étant, compte tenu des charges professionnelles dont le recourant a prouvé le paiement, ce revenu moyen ne constitue probablement pas son revenu net. Le revenu net de 1'990 fr. résultant des documents comptables - vraisemblablement établis par une fiduciaire, au vu des 220 fr. payés chaque mois à une telle entité - sera donc retenu. Parmi les charges alléguées par le recourant, certaines sont déjà enregistrées dans la comptabilité de son entreprise individuelle, soit le loyer du parking, les frais de fiduciaire, l'assurance pour véhicule et les cotisations AVS. Ces charges ne seront donc pas prises en considération pour examiner la condition d'indigence. Les frais de leasing ne seront pas pris en compte dans les charges privées du recourant, puisqu'il s'agit de charges professionnelles, censées figurer dans sa comptabilité. Sans compter le montant de base selon les normes d'insaisissabilité de l'Office des poursuites, les charges incompressibles du recourant, dont le paiement est établi, totalisent 2'225 fr. environ (soit 848 fr. de loyer, 446 fr. 35 de prime d'assurance-maladie, 30 fr. d'impôts à l'Etat de Genève et 100 fr. à l'Etat de Vaud, 800 fr. de contributions d'entretien versées par l'intermédiaire du SCARPA, 300 fr. de remboursement de dette à D______). En ajoutant l'entretien de base majoré de 20% (1'200 fr. + 240 fr.), les charges admissibles de l'appelant totalisent 3'665 fr. environ. Certes, les revenus du recourant, tels qu'ils résultent de sa comptabilité, ne sont pas suffisants pour lui permettre de payer toutes ses charges effectives, pourtant dûment acquittées. Cela étant, le recourant perçoit 1'000 fr. d'allocations familiales, qui ne sont pas censées être comptabilisées dans ses revenus, mais qu'il utilise, selon toute vraisemblance, pour son compte. Ainsi, les 2'990 fr. (1'990 fr. de revenu net + 1'000 fr. d'allocations familiales versées sur son compte) de "revenus" permettent d'expliquer pourquoi le compte bancaire du recourant présente un solde positif malgré la quotité des charges effectives (2'225 fr.) dont le paiement a été établi. Aucun élément du dossier ne permet dès lors de retenir que la situation financière présentée par le recourant ne serait pas conforme à la réalité. En tenant compte de l'entretien de base du recourant, sa situation financière présente un déficit de 675 fr. (2'990 fr. – 3'665 fr.), étant en outre rappelé que les allocations familiales ne devraient pas être prises en compte dans ses revenus. Compte tenu de ce qui précède, c'est à tort que le Vice-président du Tribunal civil a considéré que la condition d'indigence n'était pas remplie. Partant, la décision querellée sera annulée. Par ailleurs, la condition des chances de succès de la procédure n'est pas litigieuse, s'agissant d'une procédure de divorce fondée sur l'art. 114 CC. Pour le surplus, l'épouse du recourant étant représentée par un avocat pour ladite procédure, l'égalité des armes commande que le recourant le soit également (art. 118 al. 1 let. c CPC). Les deux conditions posées par l'art. 117 CPC étant remplies, le recourant sera mis au bénéfice de l'assistance juridique pour sa défense à la procédure de divorce initiée par son épouse, cause C/1______/2017, avec effet au 17 novembre 2017, date du dépôt de la demande d'assistance juridique, le recourant n'exposant pas pour quel motif le dies a quo devrait être fixé au 15 novembre 2017. 4. 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12 décembre 2017 par le Vice-président du Tribunal civil dans la cause AC/3570/2017. Au fond : Annule la décision entreprise et cela fait : Met A______ au bénéfice de l'assistance juridique, avec effet au 17 novembre 2017, pour sa défense à la procédure de divorce initiée par E______, cause C/1______/2017. Commet à cette fin Me F______, avocate. Déboute A______ de toutes autres conclusions. Dit qu'il n'est pas perçu de frais judiciaires pour le recours. Notifie une copie de la présente décision à A______ en l'Etude de Me F______ (art. 137 CPC). Siégeant : Monsieur Patrick CHENAUX, vice-président; Madame Fatina SCHAERER, greffière. Le vice-président : Patrick CHENAUX La greffière : Fatina SCHAERER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