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AC/3550/2022 vom 3. Januar 2023</w:t>
      </w:r>
    </w:p>
    <w:p>
      <w:r>
        <w:t>GE Cour de justice, 2023-01-03, FR</w:t>
      </w:r>
    </w:p>
    <w:p>
      <w:r>
        <w:rPr>
          <w:b/>
        </w:rPr>
        <w:t xml:space="preserve">Quelle: </w:t>
      </w:r>
      <w:r>
        <w:t>https://mcp.opencaselaw.ch/entscheid/ge_gerichte_AC_3550_2022</w:t>
      </w:r>
    </w:p>
    <w:p>
      <w:r>
        <w:t>FR: GE_GERICHTE AC/3550/2022 du 3 janvier 2023</w:t>
      </w:r>
    </w:p>
    <w:p>
      <w:r>
        <w:t>IT: GE_GERICHTE AC/3550/2022 del 3 gennaio 2023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3.1.1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Il faut en outre que l'assistance judiciaire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Le Tribunal fédéral considère que, même dans les litiges régis par la maxime inquisitoire sociale,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 2.2 et les références citées).</w:t>
      </w:r>
    </w:p>
    <w:p>
      <w:r>
        <w:rPr>
          <w:b/>
        </w:rPr>
        <w:t>E. 3.1.3</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ATF 136 III 513 consid. 2.3 arrêt du Tribunal fédéral 4A_652/2018 du 21 mai 2019 consid. 4.1). Une fois le délai de protection contre les congés donnés en temps inopportun écoulé (art. 336 c al. 1 let. b CO), il est admissible pour l'employeur de licencier un travailleur en raison d'une maladie entravant le rendement de celui-ci (ATF 123 III 246 consid. 5; arrêt du Tribunal fédéral 4A_300/2022 du 4 août 2022 consid. 2.1.2). A teneur de l'art. 336 al. 1 let. d CO, le congé est notamment abusif lorsqu'il est donné parce que l'autre partie fait valoir de bonne foi des prétentions résultant du contrat de travail. Pour que cette disposition soit applicable, il faut que l'autre partie ait eu la volonté d'exercer un droit et qu'elle ait été de bonne foi - celle-ci étant présumée (art. 3 al. 1 CC) -, même si sa prétention, en réalité, n'existait pas (ATF 136 III 513 consid. 2.4; arrêts du Tribunal fédéral 4A_652/2018 précité, ibidem ; 4A_401/2016 du 13 janvier 2017 consid. 5.1.2). Cela étant, les prétentions émises par l'employé doivent encore avoir joué un rôle causal dans la décision de l'employeur de le licencier (ATF 136 III 513 consid. 2.6; arrêt du Tribunal fédéral 4A_652/2018 précité, ibidem ).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4A_652/2018 précité, ibidem ). Déterminer s'il existe un rapport de causalité naturelle est une question de fait (ATF 136 III 513 consid. 2.6; arrêt du Tribunal fédéral 4A_652/2018 précité, ibidem ). Pour dire si un congé est abusif, il faut se fonder sur son motif réel (arrêt du Tribunal fédéral 4A_485/2015 du 15 février 2016 consid. 3.1). En application de l'art. 8 CC, c'est en principe à la partie qui a reçu son congé de démontrer que celui-ci est abusif (ATF 130 III 699 consid. 4.1, SJ 2005 I 152). En cas de pluralité de motifs, dont l'un au moins s'avère abusif, il incombe à l'employeur de démontrer qu'il aurait licencié le travailleur même en l'absence du motif abusif (arrêt du Tribunal fédéral 4A_437/2015 du 4 décembre 2015 consid. 2.2.5 et les arrêts cités).</w:t>
      </w:r>
    </w:p>
    <w:p>
      <w:r>
        <w:rPr>
          <w:b/>
        </w:rPr>
        <w:t>E. 3.1.4</w:t>
      </w:r>
    </w:p>
    <w:p>
      <w:r>
        <w:t>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Le tribunal fixe l'indemnité en équité (art. 4 CC).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arrêt du Tribunal fédéral 4A_259/2022 du 23 février 2023 consid. 5.1). En ce qui concerne la faute de l'employeur, il résulte de la casuistique tirée de la jurisprudence en matière de congés de représailles que l'indemnité se situe le plus souvent entre quatre et six mois de salaire (arrêt du Tribunal fédéral 4A_401/2016 précité consid. 6.2.1 et les références).</w:t>
      </w:r>
    </w:p>
    <w:p>
      <w:r>
        <w:rPr>
          <w:b/>
        </w:rPr>
        <w:t>E. 3.2</w:t>
      </w:r>
    </w:p>
    <w:p>
      <w:r>
        <w:t>En l'espèce, le litige pour lequel le recourant sollicite l'assistance juridique porte sur un montant de près de 23'000 fr. Bien que purement financiers, les intérêts invoqués par le recourant sont dès lors relativement importants, en particulier en regard de la précarité de sa situation financière. L'autorité intimée ne saurait par ailleurs être suivie lorsqu'elle considère que les chances du recourant de faire reconnaître le caractère abusif de son licenciement seraient minces et que l'indemnité à laquelle il peut prétendre ne devrait, en toute hypothèse, pas dépasser un mois de salaire, compte tenu des circonstances entourant le congé. Il résulte en effet du dossier que le recourant a été congédié peu de temps après avoir assigné son employeur en justice afin d'obtenir le paiement de son salaire du mois de juillet 2021 et des indemnités journalières que son employeur avait perçues de l'assurance accident, sans les lui reverser. Le recourant se trouvait certes, à ce moment, en incapacité de travail depuis plus de 4 mois, de sorte qu'il pouvait en principe être licencié en raison de son incapacité à reprendre le travail. Il n'en demeure pas moins qu'à ce stade, rien ne permet de présumer que l'employeur prévoyait de congédier le recourant pour cette raison précise, indépendamment du fait que celui-ci venait d'engager une procédure prud'homale à son encontre. L'existence d'un lien de causalité entre le licenciement et la formulation de prétentions par le recourant à l'encontre de son employeur paraît dès lors plausible. Contrairement à ce qu'a retenu l'autorité intimée, le fait que le recourant n'ait pas offert ses services au mois d'octobre 2017, alors qu'il avait partiellement recouvré sa capacité de travail, ne pouvait en outre justifier un licenciement, du moins pas à première vue. L'employeur étant alors en demeure dans le versement du salaire et des indemnités journalières, le recourant pouvait en effet refuser d'exécuter son travail sans devoir offrir préalablement ses services (cf. arrêt du Tribunal fédéral 4A_356/2022 du 20 décembre 2022 consid. 3.1.2, résumé in Droitdutravail.ch, Newsletter mars 2023). A cela s'ajoute que le licenciement n'a été prononcé qu'en date du 1 er décembre 2022. D'un point de vue temporel, l'existence d'un lien de causalité entre le congé et la non-reprise du travail par le recourant au mois d'octobre 2017 ne saute dès lors pas aux yeux. Compte tenu de ce qui précède, la possibilité de faire admettre le caractère abusif du licenciement ne pouvait être considérée comme dénuée de toute chance de succès. Le licenciement ayant été signifié au recourant peu de temps après que celui-ci ait fait valoir des prétentions légitimes à l'encontre de son employeur, la faute de ce dernier ne paraît en outre pas légère. Il résulte en outre du dossier que le recourant avait été employé par une autre société de son employeur de juillet 2021 à juin 2022. Contrairement à ce qu'a retenu l'autorité intimée, la durée des rapports de travail ne s'était dès lors pas limitée à 20 jours lorsque le recourant s'est retrouvé en incapacité de travail. En conclusion sur ce point, il convient de retenir que la perspective du recourant d'obtenir une indemnité pour licenciement abusif équivalent à deux, voire trois mois de salaire, ne paraît pas notablement plus faible que celle de perdre le procès. La cause de l'intéressé ne pouvait dès lors être considérée comme dénuée de chances de succès, au point qu'un justiciable raisonnable, de bonne foi et disposant de moyens suffisants, renoncerait à faire appel à un homme de loi pour intenter un procès. S'agissant de la nécessité de se faire assister par un avocat, il résulte du dossier que le recourant a été en mesure de déposer une requête de conciliation sur formulaire auprès de l'Autorité de conciliation des prud'hommes, en vue d'obtenir le versement de son salaire de juillet 2021 et des indemnités journalières en souffrance. Le recourant a certes eu besoin de se faire aider par une connaissance pour ce faire; il ne conteste cependant pas de manière motivée le raisonnement de l'autorité intimée, selon lequel cette démarche ne présentait pas de difficultés factuelles ou juridiques particulières et pouvait être effectuée sans l'assistance d'un avocat, moyennant éventuellement l'appui d'un organisme spécialisé dans la défense des travailleurs au moment de l'introduction de la demande au fond. Contrairement à ce que prétend le recourant dans ses écritures, ce raisonnement vaut également pour les démarches visant à accéder au dossier de l'assurance accident et à obtenir le paiement direct des indemnités journalières par l'assureur; compte tenu de leur relative simplicité, le recourant était en mesure d'agir en ce sens avec l'aide d'un organisme à vocation sociale; la complexité de ces démarches ne nécessitait pas l'appui d'un homme de loi. Il ne saurait en revanche en aller de même pour la prétention du recourant tendant à l'obtention d'une indemnité pour licenciement abusif. Comme l'illustre la jurisprudence rappelée ci-dessus, les conditions factuelles et juridiques permettant de faire valoir une telle prétention ne sont pas accessibles à tout un chacun, en particulier lorsque le licenciement est potentiellement fondé sur plusieurs motifs. Or, il ne ressort pas du dossier que le recourant disposerait de quelconques connaissances juridiques lui permettant d'agir seul en ce sens. En outre, le fait qu'une action aux prud'hommes puisse être introduite au moyen d'une simple formule délivrée gratuitement par le greffe ou que la procédure simplifiée soit applicable ne sont pas déterminants pour justifier le refus de l'assistance judiciaire. Il n'appert enfin pas que le recourant serait affilié à un syndicat et qu'il pourrait, à ce titre, se faire assister par un mandataire professionnellement qualifié dans le cadre de la procédure qu'il souhaite engager. La commission d'un avocat au recourant pour cet aspect du litige est dès lors justifiée. Au vu de ce qui précède, la décision de l'autorité intimée doit être annulée en tant qu'elle refuse de mettre le recourant au bénéfice de l'assistance juridique pour la procédure d'indemnisation envisagée. Le recours sera par conséquent partiellement admis et la cause renvoyée au vice-président du Tribunal de première instance pour examen de la condition d'indigence.</w:t>
      </w:r>
    </w:p>
    <w:p>
      <w:r>
        <w:rPr>
          <w:b/>
        </w:rPr>
        <w:t>E. 4</w:t>
      </w:r>
    </w:p>
    <w:p>
      <w:r>
        <w:t>Compte tenu de l'issue du litige, l'Etat de Genève sera condamné à verser au recourant 400 fr. à titre de dépens (ATF 140 III 501 consid. 4).![endif]&gt;![if&gt; * * * * * PAR CES MOTIFS, LA VICE-PRÉSIDENTE DE LA COUR : A la forme : Déclare recevable le recours formé par A______ contre la décision rendue le 3 janvier 2023 par le vice-président du Tribunal de première instance dans la cause AC/3550/2022. Au fond : Annule cette décision. Renvoie la cause à l'autorité de première instance pour instruction complémentaire et nouvelle décision au sens des considérants.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l'Etude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