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AC/3546/2016 vom 6. Juli 2017</w:t>
      </w:r>
    </w:p>
    <w:p>
      <w:r>
        <w:t>GE Cour de justice, 2017-07-06, FR</w:t>
      </w:r>
    </w:p>
    <w:p>
      <w:r>
        <w:rPr>
          <w:b/>
        </w:rPr>
        <w:t xml:space="preserve">Quelle: </w:t>
      </w:r>
      <w:r>
        <w:t>https://mcp.opencaselaw.ch/entscheid/ge_gerichte_AC_3546_2016</w:t>
      </w:r>
    </w:p>
    <w:p>
      <w:r>
        <w:t>FR: GE_GERICHTE AC/3546/2016 du 6 juillet 2017</w:t>
      </w:r>
    </w:p>
    <w:p>
      <w:r>
        <w:t>IT: GE_GERICHTE AC/3546/2016 del 6 luglio 2017</w:t>
      </w:r>
    </w:p>
    <w:p>
      <w:pPr>
        <w:pStyle w:val="Heading2"/>
      </w:pPr>
      <w:r>
        <w:t>Regeste</w:t>
      </w:r>
    </w:p>
    <w:p>
      <w:r>
        <w:t>RESPONSABILITÉ DE L'ÉTAT ; CHANCES DE SUCCÈS ; CURATELLE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ne seront pas pris en considération.</w:t>
      </w:r>
    </w:p>
    <w:p>
      <w:r>
        <w:rPr>
          <w:b/>
        </w:rPr>
        <w:t>E. 3</w:t>
      </w:r>
    </w:p>
    <w:p>
      <w:r>
        <w:t>La recourante reproche à la Vice-présidente du Tribunal civil de ne pas lui avoir accordé l’assistance juridique pour agir en dommages et intérêts et en réparation du tort moral contre l’Etat de Genève.![endif]&gt;![if&gt;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Dans le canton de Genève, la responsabilité de l’Etat est régie par la Loi sur la responsabilité de l’Etat et des communes (LREC). Celle-ci est applicable aux autres corporations et établissement de droit public dotés de la personnalité (art. 9 LREC). Tel est le cas des TPG (art. 2 al. 1 de la loi sur les Transports publics genevois, LTPG). En vertu de l'art. 2 al. 1 la Loi sur la responsabilité de l’Etat et des communes (LREC), l'Etat de Genève et les communes du canton sont tenus de réparer le dommage résultant pour des tiers d'actes illicites commis soit intentionnellement, soit par négligence ou imprudence par leurs fonctionnaires ou agents dans l'accomplissement de leur travail. Le comportement d'un magistrat ou d'un fonctionnaire est illicite lorsqu'il viole des injonctions ou des interdictions de l'ordre juridique destinées à protéger le bien lésé.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231 consid. 4 p. 234 et les références citées ; arrêt du Tribunal fédéral 2C.3/1998 du 16 mars 2000 consid. 3a).</w:t>
      </w:r>
    </w:p>
    <w:p>
      <w:r>
        <w:rPr>
          <w:b/>
        </w:rPr>
        <w:t>E. 3.2</w:t>
      </w:r>
    </w:p>
    <w:p>
      <w:r>
        <w:t>En l'espèce, on ne saurait imputer à l’Etat de Genève les agissements d’autres personnes que ses fonctionnaires ou agents dans l’exercice de leur travail. Par conséquent, les agissements de l’usurpatrice ne peuvent pas lui être reprochés. Le commandement de payer qui a été notifié à la recourante par le Services des contraventions repose sur une ordonnance pénale rendue à son encontre au mois de mai 2014. La recourante n’indique pas avoir recouru contre cette décision ni avoir porté à la connaissance des services de police qu’elle était victime d’une usurpation d’identité et que cela avait été reconnu par les TPG. Elle n’explique pas non plus comment, après avoir dûment formé opposition au commandement de payer, elle a dû être contrainte de s’acquitter du montant qui lui était réclamé, sans que, a priori , une procédure de mainlevée ait été intentée. Dès lors que la recourante ne rend, à première vue, pas vraisemblable avoir déployé tout ce qui était en son pouvoir pour rétablir la vérité, soit que son identité aurait été usurpée, il semble, qu’elle ne puisse pas reprocher à l’Etat de Genève de ne pas avoir procédé d’office aux modifications nécessaires. En revanche, il semble que le juge du Tribunal de protection ait manqué d’attention dans l’examen de son dossier puisqu’il y était distinctement indiqué que la personne mise sous curatelle et qui avait d’ores et déjà fait l’objet d’une privation de ses droits civiques – la décision litigieuse ayant pour but la prolongation de cette privation – était un alias de la recourante. Une analyse plus approfondie du dossier et une audition de personne concernée auraient, à première vue, permis au magistrat de dissiper le doute sur la personne concernée par la curatelle. Si, au jour du dépôt de la demande d’assistance juridique, la levée de la curatelle contestée n’était pas encore prononcée, les éléments apporté par la recourante dans la présente procédure rendent hautement vraisemblable que celle-ci le sera prochainement. Cela étant, les conséquences du prononcé de cette mesure ont été non négligeables pour la recourante puisque celle-ci paraît avoir été injustement privée d’une partie de ses droits pendant plusieurs mois. Dès lors, l’action en responsabilité contre l’Etat de Genève que désire intenter la recourante ne paraît, a priori, pas dénuée de chances de succès à cet égard. Par conséquent, le recours sera admis et la décision querellée sera annulée. La condition de l’indigence étant réalisée du fait que la recourante a été mise au bénéfice de l’assistance juridique pour la procédure relative à la levée de la curatelle, l'assistance juridique sollicitée sera en conséquence octroyée, avec effet au 25 novembre 2016, date du dépôt de la demande.</w:t>
      </w:r>
    </w:p>
    <w:p>
      <w:r>
        <w:rPr>
          <w:b/>
        </w:rPr>
        <w:t>E. 4</w:t>
      </w:r>
    </w:p>
    <w:p>
      <w:r>
        <w:t>La recourante reproche également à la Vice-présidente du Tribunal civil d’avoir limité la couverture du nombre des heures d’activité d’avocat pour la procédure tendant à lever la mesure de curatelle.</w:t>
      </w:r>
    </w:p>
    <w:p>
      <w:r>
        <w:rPr>
          <w:b/>
        </w:rPr>
        <w:t>E. 4.1</w:t>
      </w:r>
    </w:p>
    <w:p>
      <w:r>
        <w:t>À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2ème éd., 2016, n. 17 ad art. 118 CPC), soit en quelque sorte "à la carte" (Ruegg, in Basler Kommentar, Schweizerische Zivilprozessordnung, Spühler/Tenchio/Infanger, 2ème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4.2</w:t>
      </w:r>
    </w:p>
    <w:p>
      <w:r>
        <w:t>En l’espèce, la recourante se contente de se plaindre d’une manière toute générale de la limitation des heures d’activité d’avocat pour la procédure devant le Tribunal de protection de l’adulte sans faire valoir que les cinq heures admises par le premier juge ne seront pas suffisantes pour mener à bien cette procédure. Or, la procédure tendant à faire lever la mesure de curatelle de la recourante ne paraît a priori pas poser de difficulté particulière dès lors qu’il s’agira uniquement de démontrer qu’il y a eu erreur sur la personne. La limite temporelle de cinq heures fixées dans la décision querellée ne paraît dès lors pas critiquable, étant pour le surplus rappelé que la recourante a la possibilité de demander une extension de l'aide étatique dans l'hypothèse où la limite d'heures fixée dans la décision entreprise serait atteinte avant l'issue de la procédure. Compte tenu de l'ensemble de ce qui précède, le recours, infondé, sera rejeté à cet égard.</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