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AC/3527/2015 vom 11. Januar 2017</w:t>
      </w:r>
    </w:p>
    <w:p>
      <w:r>
        <w:t>GE Cour de justice, 2017-01-11, FR</w:t>
      </w:r>
    </w:p>
    <w:p>
      <w:r>
        <w:rPr>
          <w:b/>
        </w:rPr>
        <w:t xml:space="preserve">Quelle: </w:t>
      </w:r>
      <w:r>
        <w:t>https://mcp.opencaselaw.ch/entscheid/ge_gerichte_AC_3527_2015</w:t>
      </w:r>
    </w:p>
    <w:p>
      <w:r>
        <w:t>FR: GE_GERICHTE AC/3527/2015 du 11 janvier 2017</w:t>
      </w:r>
    </w:p>
    <w:p>
      <w:r>
        <w:t>IT: GE_GERICHTE AC/3527/2015 del 11 gennaio 2017</w:t>
      </w:r>
    </w:p>
    <w:p>
      <w:pPr>
        <w:pStyle w:val="Heading2"/>
      </w:pPr>
      <w:r>
        <w:t>Regeste</w:t>
      </w:r>
    </w:p>
    <w:p>
      <w:r>
        <w:t>NOTIFICATION IRRÉGULIÈRE ; MANDATAIRE ; DÉCISION DE RENVOI ; RESTITUTION(EN GÉNÉRAL) | CPC.123.1 RAJ.19.3 CPC.137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 al. 3,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le recours a été interjeté dans le délai légal de dix jours. Par ailleurs, bien que la recourante ne conclue pas formellement à l'annulation de la décision querellée, ce serait faire preuve de formalisme excessif que de déclarer son recours irrecevable. En effet, agissant en personne, elle conclut implicitement à l'annulation de la décision querellée en indiquant ne pas avoir les moyens de payer le montant de 7'200 fr. et souhaiter "rétablir cette situation". Le recours a en outre été interjeté en la forme écrite prescrite par la loi.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2.2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2.3</w:t>
      </w:r>
    </w:p>
    <w:p>
      <w:r>
        <w:t>En l'espèce, la recourante était représentée par son conseil dans le cadre de sa requête d'assistance juridique. Le greffe de l'assistance juridique n'a cependant pas envoyé à l'avocate de la recourante le courrier destiné à actualiser la situation financière de celle-ci. La notification de ce courrier n'a, dès lors, pas été accomplie. Pouvant de bonne foi s'attendre à ce que le courrier en question soit adressé à son conseil, la recourante ne l'a pas retiré dans le délai de garde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janvier 2017 par le Vice-président du Tribunal civil dans la cause AC/3527/2015. Au fond : Annule cette décision. Cela fait : Renvoie la cause à l'autorité de première instance pour examen de la situation financière de A______ et pour éventuelle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