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AC/3516/2019 vom 17. Dezember 2019</w:t>
      </w:r>
    </w:p>
    <w:p>
      <w:r>
        <w:t>GE Cour de justice, 2019-12-17, FR</w:t>
      </w:r>
    </w:p>
    <w:p>
      <w:r>
        <w:rPr>
          <w:b/>
        </w:rPr>
        <w:t xml:space="preserve">Quelle: </w:t>
      </w:r>
      <w:r>
        <w:t>https://mcp.opencaselaw.ch/entscheid/ge_gerichte_AC_3516_2019</w:t>
      </w:r>
    </w:p>
    <w:p>
      <w:r>
        <w:t>FR: GE_GERICHTE AC/3516/2019 du 17 décembre 2019</w:t>
      </w:r>
    </w:p>
    <w:p>
      <w:r>
        <w:t>IT: GE_GERICHTE AC/3516/2019 del 17 dicembre 2019</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Le moment déterminant pour apprécier si des circonstances nouvelles se sont produites est ainsi la date du dépôt de la demande de modification du jugement de divorce (ATF 138 III 289 consid. 11.1.1; 137 III 604 consid. 4.1.1; arrêts du Tribunal fédéral 5A_400/2018 du 28 août 2018 consid. 3; 5A_788/2017 du 2 juillet 2018 consid. 5.1).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arrêts du Tribunal fédéral 5A_400/2018 du 28 août 2018 consid. 3; 5A_788/2017 du 2 juillet 2018 consid. 5.1).</w:t>
      </w:r>
    </w:p>
    <w:p>
      <w:r>
        <w:rPr>
          <w:b/>
        </w:rPr>
        <w:t>E. 2.1.3</w:t>
      </w:r>
    </w:p>
    <w:p>
      <w:r>
        <w:t>Lors de la fixation de la contribution d'entretien en faveur de l'enfant, le juge doit tenir compte des revenus effectifs des parties. Néanmoins, lorsqu'il s'agit de l'entretien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du Tribunal fédéral 5A_513/2012 du 17 octobre 2012 consid. 4). Un parent peut ainsi se voir imputer un revenu hypothétique, pour autant qu'il puisse gagner plus que son revenu effectif en faisant preuve de bonne volonté et en accomplissant l'effort que l'on peut raisonnablement exiger de lui (ATF 137 III 102 consid. 4.2.2.2). Selon le calculateur statistique de salaire Salarium , une activité à 100% de vendeur dans un commerce de détail, exercée dans une grande entreprise dans la région lémanique, par un homme de 36 ans, sans aucune expérience professionnelle ni aucune formation, permet de réaliser un salaire brut moyen de 4'400 fr., soit 3'740 fr. net (compte tenu de charges sociales de 15%).</w:t>
      </w:r>
    </w:p>
    <w:p>
      <w:r>
        <w:rPr>
          <w:b/>
        </w:rPr>
        <w:t>E. 2.2</w:t>
      </w:r>
    </w:p>
    <w:p>
      <w:r>
        <w:t>2.2.1 En l'espèce, le recourant fait valoir qu'il désire agir en modification du jugement de divorce en raison d'une modification de sa situation financière et non en raison d'un vice de consentement lors de la conclusion de la convention de divorce. Il fait valoir qu'il existait une possibilité qu'il puisse obtenir les revenus espérés, dont il s'abstient de préciser le montant, lors de la conclusion de la convention de divorce. Toutefois, ses projets ne s'étaient pas réalisés de sorte qu'il n'était pas en mesure de s'acquitter des contributions d'entretien qu'il s'était engagé à verser pour ses enfants. Dès lors que le recourant fait l'aveu de ce qu'il ne bénéficiait d'aucune ressource lors du prononcé du jugement de divorce et admet percevoir à ce jour un modeste revenu d'indépendant, il ne peut être que constaté que sa situation financière ne s'est pas péjorée.</w:t>
      </w:r>
    </w:p>
    <w:p>
      <w:r>
        <w:rPr>
          <w:b/>
        </w:rPr>
        <w:t>E. 2.2.2</w:t>
      </w:r>
    </w:p>
    <w:p>
      <w:r>
        <w:t>A supposer même qu'il faille considérer que les contributions ont été fixées non pas sur la base d'un revenu hypothétique mais sur celle d'une situation qui ne s'est pas réalisée, ce qui ne résulte pas du jugement dont la modification est demandée, l'appréciation des chances de succès demeurerait la même : force est en effet de constater qu'aujourd'hui comme, selon toute vraisemblance, en 2017, il pourrait être demandé au recourant, qui ne fait pas valoir des problèmes de santé l'empêchant de travailler à plein temps, de trouver un emploi salarié pouvant lui rapporter à tout le moins 3'750 fr. net. Ce montant lui permettrait vraisemblablement de trouver un logement modeste, au besoin subventionné, ainsi que de couvrir son entretien de base et sa prime d'assurance maladie, tout en lui laissant le solde nécessaire pour s'acquitter de la contribution d'entretien totale de 1'200 fr. par mois (600 fr. par enfant) qu'il s'est engagé à verser.</w:t>
      </w:r>
    </w:p>
    <w:p>
      <w:r>
        <w:rPr>
          <w:b/>
        </w:rPr>
        <w:t>E. 2.3</w:t>
      </w:r>
    </w:p>
    <w:p>
      <w:r>
        <w:t>Compte tenu de ce qui précède, c'est à juste titre que le premier juge a tenu pour vraisemblable que le recourant n'obtiendrait pas gain de cause dans son action en modification du jugement de divorce. La décision querellée sera donc confirmée.</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le 23 décembre 2019 par A______ contre la décision rendue le 17 décembre 2019 par le Vice-président du Tribunal civil dans la cause AC/3516/2019. Au fond : Le rejette. Déboute A______ de toutes autres conclusions. Dit qu'il n'est pas perçu de frais judiciaires pour le recours. Notifie une copie de la présente décision à A______ en l'Étude de M e Philippe GIROD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