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AC/3497/2022 vom 25. März 2025</w:t>
      </w:r>
    </w:p>
    <w:p>
      <w:r>
        <w:t>GE Cour de justice, 2025-03-25, FR</w:t>
      </w:r>
    </w:p>
    <w:p>
      <w:r>
        <w:rPr>
          <w:b/>
        </w:rPr>
        <w:t xml:space="preserve">Quelle: </w:t>
      </w:r>
      <w:r>
        <w:t>https://mcp.opencaselaw.ch/entscheid/ge_gerichte_AC_3497_2022</w:t>
      </w:r>
    </w:p>
    <w:p>
      <w:r>
        <w:t>FR: GE_GERICHTE AC/3497/2022 du 25 mars 2025</w:t>
      </w:r>
    </w:p>
    <w:p>
      <w:r>
        <w:t>IT: GE_GERICHTE AC/3497/2022 del 25 marzo 2025</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à l'Autorité de première instance d'avoir, en violation de l'art. 9 Cst, omis d'exposer et de considérer sa capacité à prendre des décisions en matière médicale dans l'intérêt prépondérant de ses enfants, qu'aucun élément n'était venu contredire. La volonté exprimée par son fils était de le désigner comme responsable des décisions médicales, ce qui devait être pris en compte puisqu'il dispose de la capacité de discernement et celle de " se positionner librement et de manière éclairée quant aux relations personnelles avec [ses] parents ", selon les experts, lesquels avaient reconnu que son " suivi thérapeutique (…) évoluait positivement ". Enfin, la mère avait accepté de renoncer à son autorité parentale sur son fils, en faveur du père, à propos du traitement de désensibilisation. De plus, l'Autorité de première instance a, à son sens, manqué d'esprit critique à l'égard de l'instauration de la curatelle médicale confiée au SPMi, alors que ce Service avait reconnu l'inefficacité de son intervention. Il sollicite l'audition de ses enfants par le TPAE. 2.1.1 Reprenant l'art. 29 al. 3 Cst., l'art. 117 CPC prévoit que toute personne qui ne dispose pas de ressources suffisantes a droit à l'assistance judiciaire à moins que sa cause paraisse dépourvue de toute chance de succès. Selon la jurisprudence, une cause est dépourvue de toute chance de succès, au sens de l'art. 117 let. b CPC,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5A_585/2023 du 15 janvier 2024 consid. 5.1).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5A_585/2023 du 15 janvier 2024 consid. 5.1).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du Tribunal fédéral 5A_585/2023 du 15 janvier 2024 consid. 5.1; 4A_614/2015 du 25 avril 2016 consid. 3.2; 4A_454/2008 du 1 er décembre 2008 consid. 4.2). 2.1.2. Selon l'art. 9 Cst., toute personne a le droit d’être traitée par les organes de l’État sans arbitraire et conformément aux règles de la bonne foi. Une décision ne peut être qualifiée d'arbitraire au sens de cette disposition que si elle est manifestement insoutenable, méconnaît gravement une norme ou un principe juridique clair et indiscuté, heurte de manière choquante le sentiment de la justice et de l'équité ou s'écarte de la jurisprudence du Tribunal fédéral sans motif pertinent (ATF 148 III 95 consid. 4.1; 145 II 32 consid. 5.1; 144 I 170 consid.7.3; arrêt du Tribunal fédéral 5A_353/2023 du 15 novembre 2023 consid. 2.1); il ne suffit pas qu'une autre solution paraisse concevable, voire préférable; pour que cette décision soit annulée, encore faut-il qu'elle se révèle arbitraire non seulement dans ses motifs, mais aussi dans son résultat (ATF 148 III 95 consid. 4.1; 147 I 170 consid. 7.3; arrêt du Tribunal fédéral 5A_353/2023 du 15 novembre 2023 consid. 2.1). 2.1.3. Selon l'art. 16 CC,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124 III 5 consid. 1a p. 8; ATF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 La jurisprudence admet qu'un patient mineur peut consentir seul à un traitement médical qui lui est proposé lorsqu'il est capable de discernement (ATF 134 II 235 consid. 4.1; 114 Ia 350 consid. 7a). En effet, le mineur capable de discernement peut exercer seul ses droits strictement personnels (cf. art. 19 al. 2 CC), parmi lesquels figure la faculté de consentir à un acte médical (ATF 134 II 235 consid. 4.1 et les références citées). Cette tendance à prendre en considération l'avis du mineur est confirmée dans les conventions internationales. L'art. 12 al. 1 de la Convention du 20 novembre 1989 relative aux droits de l'enfant (RS 0.107) dispose ainsi que "les Etats parties garantissent à l'enfant qui est capable de discernement le droit d'exprimer librement son opinion sur toute question l'intéressant, les opinions de l'enfant étant dûment prises en considération eu égard à son âge et à son degré de maturité". Le mineur ne sera donc représenté par ses parents que s'il est incapable de discernement et l'évolution du droit tend à ce que, même dans cette hypothèse, l'on tienne compte de son avis (ATF 134 II 235 consid. 4.1 et la référence citée). Le CC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 En matière médicale, la jurisprudence a souligné que la capacité de discernement d'un patient mineur, condition indispensable pour que celui-ci puisse consentir seul à un traitement, doit être appréciée dans chaque cas, en regard de la nature des problèmes que pose l'intervention. Les détenteurs de l'autorité parentale devraient être appelés à intervenir seulement s'il y a un doute que la personne mineure puisse apprécier objectivement les tenants et aboutissants de l'intervention proposée, mais l'intérêt thérapeutique du patient doit rester prépondérant dans tous les cas (ATF 134 II 235 consid. 4.3.2). Il est présumé qu'un petit enfant n'a pas la capacité de discernement nécessaire pour choisir un traitement médical, alors que cette capacité est présumée pour un jeune proche de l'âge adulte (ATF 134 II 235 consid. 4.3.3 et la référence citée). Dans la tranche d'âge intermédiaire, l'expérience générale de la vie ne permet cependant pas d'admettre cette présomption, car la capacité de discernement de l'enfant dépend de son degré de développement (ATF 134 II 235 consid. 4.3.3). Dans ce cas d'espèce, il a été admis que le praticien aurait dû renoncer à effectuer un traitement médical sur une patiente âgée de 13 ans et deux mois, disposant de la capacité de discernement pour ce faire et qui s'y refusait, au lieu de considérer l'avis favorable de sa mère (ATF 134 II 235 ). 2.1.4. Selon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 L'institution d'une curatelle au sens de cette disposition suppose d'abord, comme toute mesure de protection de l'enfant,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du Tribunal fédéral 5A_603/2022 du 28 avril 2023 consid. 3.1.1; 5A_415/2020 du 18 mars 2021 consid. 6.1; 5A_983/2019 du 13 novembre 2020 consid. 9.1). Parmi les pouvoirs que le juge peut conférer au curateur en application de l'art. 308 al. 2 CC figure celui de mettre en place et de veiller, à la place des parents inactifs ou récalcitrants, à ce qu'un examen et/ou un traitement médical soient effectués (arrêt du Tribunal fédéral 5A_603/2022 du 28 avril 2023 consid. 3.1.1 et les références citées). L'autorité qui ordonne une mesure de protection de l'enfant dispose à cet égard d'un large pouvoir d'appréciation (art. 4 CC). Il en va de même de l'autorité de recours.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(arrêts du Tribunal fédéral 5A_603/2022 du 28 avril 2023 consid. 3.1.1; 5A_615/2011 du 5 décembre 2011 consid. 4.1). 2.1.5. 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IV 49 consid. 2.1.3 et la référence; arrêts 5A_700/2021 du 16 septembre 2022 consid. 3.2; 6B_66/2022 du 19 avril 2022 consid. 3.4.6.1; 5A_551/2021 du 7 décembre 2021 consid. 4.2.1; 5A_727/2020 du 31 mars 2021 consid. 5.2).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(arrêt du Tribunal fédéral 5A_603/2022 du 28 avril 2023 consid. 3.1.2).</w:t>
      </w:r>
    </w:p>
    <w:p>
      <w:r>
        <w:rPr>
          <w:b/>
        </w:rPr>
        <w:t>E. 2.2</w:t>
      </w:r>
    </w:p>
    <w:p>
      <w:r>
        <w:t>En l'espèce, l'aîné est aujourd'hui âgé de 16 ans révolus, soit un âge proche de celui de sa majorité et sa capacité de discernement est présumée, aucun élément du dossier ne permettant d'ailleurs d'en douter. Les experts ont relevé sa capacité à se positionner librement et de manière éclairée quant aux relations personnelles avec ses parents. Pourtant, la question de savoir dans quelle mesure il pourrait, a priori , décider seul s'agissant de sa santé, dont le suivi de son traitement de désensibilisation aux allergies, n'a été examiné ni par l'Autorité de première instance, ni par le TPAE. Or, la réponse à cette question paraît être un préalable à la représentation de l'aîné en matière médicale par son père, respectivement à l'instauration d'une curatelle à cette fin. Ensuite, il ne paraît pas contesté que l'aîné ait désigné son père comme représentant en matière thérapeutique, a priori valablement, nonobstant sa minorité, puisque sa santé relève de ses droits personnels absolus, d'une part, et que sa capacité de discernement pour choisir son père comme représentant en matière médicale est présumée, d'autre part. Or, aucune des juridictions sus évoquées n'a prêté attention à la pertinence du choix de l'aîné et les raisons pour lesquelles ce choix ne pouvait pas être respecté, à tout le moins s'agissant de son traitement de désensibilisation aux allergies, devaient être sérieusement motivées. Le recourant a mis en place pour son fils un traitement de désensibilisation, sur instruction du TPAE du 4 juillet 2023, lequel avait limité l'autorité parentale de la mère en conséquence. L'évolution de l'aîné s'est révélée être positive, selon le rapport d'expertise rendu le 2 avril 2024 et les bonnes capacités du père ont été retenues et les experts ont retenu son implication dans les démarches médicales de ses enfants et son écoute des recommandations des professionnels et des demandes de ses enfants. S'ajoute à ces considérations que, selon la mère, l'âge de son fils ne justifiait pas l'instauration d'une curatelle de soins et qu'elle a confirmé le maintien de la limitation de son autorité parentale s'agissant du traitement de désensibilisation de son fils. L'accord des parents relatif à ce que le père continue à être en charge du suivi du traitement thérapeutique en cours de leur fils n'implique, a priori , ni rivalités entre eux, ni de conflit de loyauté des enfants. La décision de la vice-présidence du Tribunal civil du 1 er novembre 2024 n'est pas arbitraire au sens de l'art. 9 Cst, mais elle consacre néanmoins une violation de l'art. 117 CPC car il apparaît que les conditions de nécessité, proportionnalité et subsidiarité relatives à l'instauration d'une curatelle de représentation dans le domaine médical méritent d'être réexaminées en seconde instance, s'agissant à tout le moins du fils, et au regard de l'important pouvoir d'appréciation de cette juridiction. Eu égard à ce qui précède, le recours du recourant contre l'ordonnance du TPAE du 16 septembre 2024 ne semble pas dépourvu de chances de succès. La décision attaquée sera, par conséquent, annulée et la cause renvoyée à la vice-présidence du Tribunal civil pour examen de la condition d'indigence et nouvelle décision. Point n'est, dès lors, besoin d'examiner les autres griefs du recourant.</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18 novembre 2024 par A______ contre la décision rendue le 1 er novembre 2024 par la vice-présidence du Tribunal civil dans la cause AC/3497/2022.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