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AC/347/2014 vom 24. Juli 2024</w:t>
      </w:r>
    </w:p>
    <w:p>
      <w:r>
        <w:t>GE Cour de justice, 2024-07-24, FR</w:t>
      </w:r>
    </w:p>
    <w:p>
      <w:r>
        <w:rPr>
          <w:b/>
        </w:rPr>
        <w:t xml:space="preserve">Quelle: </w:t>
      </w:r>
      <w:r>
        <w:t>https://mcp.opencaselaw.ch/entscheid/ge_gerichte_AC_347_2014</w:t>
      </w:r>
    </w:p>
    <w:p>
      <w:r>
        <w:t>FR: GE_GERICHTE AC/347/2014 du 24 juillet 2024</w:t>
      </w:r>
    </w:p>
    <w:p>
      <w:r>
        <w:t>IT: GE_GERICHTE AC/347/2014 del 24 luglio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La recourante ne conteste pas les montants retenus par l'Autorité de première instance, mais la prise en compte des revenus de son époux, lequel n'est pas codébiteur de sa dette envers l'Assistance juridique.</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La créance du canton se prescrit par dix ans à compter de la fin du procès (art. 123 al. 2 CPC et 19 al. 4 RAJ).</w:t>
      </w:r>
    </w:p>
    <w:p>
      <w:r>
        <w:rPr>
          <w:b/>
        </w:rPr>
        <w:t>E. 2.2</w:t>
      </w:r>
    </w:p>
    <w:p>
      <w:r>
        <w:t>Une personne est indigente lorsqu'elle n'est pas en mesure d'assumer les frais de la procédure sans porter atteinte au minimum nécessaire à son entretien et à celui de sa famille (ATF 144 III 531 précité consid. 4.1; 141 III 369 consid. 4.1). Pour déterminer l'indigence, il convient de prendre en considération l'ensemble de la situation financière du justiciable, celui-ci devant indiquer de manière complète et établir autant que faire se peut ses revenus, sa situation de fortune et ses charges (ATF 135 I 221 consid. 5.1; arrêts du Tribunal fédéral 5A_836/2023 du 10 janvier 2024 consid. 3.2.1; 5A_287/2023 du 5 juillet 2023 consid. 3.1; 5A_984/2022 du 27 mars 2023 consid. 3.1). L'obligation d'un époux d'assister l'autre en cas de litige par le versement d'une avance de frais de justice est l'émanation du devoir d'entretien entre époux selon l'art. 163 CC et du devoir d'assistance entre époux selon l'art. 159 al. 3 CC (ATF 148 III 21 consid. 3.1; 146 III 203 consid. 6.3; ATF 142 III 36 consid. 2.3). Ces deux obligations existent indépendamment du régime matrimonial, ce qui signifie qu'une avance de frais de justice est due indépendamment de la masse matrimoniale à laquelle les revenus et la fortune de l'époux débiteur doivent être attribués (arrêt du Tribunal fédéral 5A_251/2024 du 10 juillet 2024 consid. 2.4.1 et les références citées). Il n'est pas acceptable de faire supporter à la collectivité les frais de justice d'une personne dans le besoin dont le conjoint est en mesure de lui faire au moins l'avance des frais de justice (ATF 138 III 672 consid. 4.2.1; arrêt du Tribunal fédéral 5A_251/2024 du 10 juillet 2024 consid. 2.4.1 et la référence citée; 5A_456/2020 du 7 octobre 2020 consid. 5.2). Cette obligation d'entretien impose d'effectuer un calcul global prenant en compte les revenus nets des époux, le montant mensuel de base qui leur est applicable, ainsi que l'ensemble des charges de leur ménage (arrêts du Tribunal fédéral 8C_65/2021 du 17 juin 2021 consid. 7; 8C_1008/2012 du 24 mai 2013 consid. 3.3.3; 9C_859/2008 du 15 décembre 2008 consid. 3.4.1). Le minimum vital à considérer représente l'entier du solde entre les revenus nets des époux et les charges admissibles de leur ménage ( DAAJ/1/2022 du 11 janvier 2022 consid. 2.2; DAAJ/18/2020 du 4 mars 2020 consid. 3.2; DAAJ/66/2018 du 7 août 2018 consid. 3.2; DAAJ/50/2018 du 16 juillet 2018 consid. 3.2; contra : DAAJ/97/2015 du 20 novembre 2015 consid. 2.2 où seuls les revenus et charges ont été considérés dans leur ensemble, mais où seul le revenu du justiciable a été pris en compte pour couvrir ses frais de justice et d'avocat).</w:t>
      </w:r>
    </w:p>
    <w:p>
      <w:r>
        <w:rPr>
          <w:b/>
        </w:rPr>
        <w:t>E. 2.3</w:t>
      </w:r>
    </w:p>
    <w:p>
      <w:r>
        <w:t>En l'espèce, la recourante est mariée, de sorte que c'est avec raison que la vice-présidence du Tribunal civil a calculé son minimum vital en prenant l'ensemble des revenus du couple, ainsi que leurs charges mensuelles admissibles, selon les chiffres communiqués par la recourante et non contestés par celle-ci. Ainsi, l'Autorité de première instance a considéré que la recourante n'était pas indigente, puisque son ménage disposait d'un solde mensuel de 1'014 fr., lequel lui permettait de rembourser le montant de 7'938 fr. avancé par l'assistance juridique, cela en moins de huit mensualités. Bien que son époux ne soit pas codébiteur de la dette d'assistance juridique, ses revenus mensuels participent néanmoins à l'extinction de celle de son épouse, le Tribunal fédéral ayant légitimé cette conséquence en vertu de son devoir d'entretien et d'assistance envers son épouse. Il a également considéré que l'octroi de l'assistance juridique, soit la mise en œuvre de la participation financière de la collectivité publique, était subsidiaire aux obligations d'entretien entre époux. Il s'ensuit qu'il incombe également à l'époux de participer à l'extinction de la dette de la recourante, puisque leur disponible mensuel le permet. Par conséquent, l'argumentation de la recourante selon laquelle le calcul de son minimum vital aurait dû s'opérer sans tenir compte des revenus de son époux s'écarte de la jurisprudence fédérale applicable aux couples mariés. Il s'ensuit que le recours, infondé, sera dès lors rejeté.</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6 août 2024 par A______ contre la décision rendue le 24 juillet 2024 par la vice-présidence du Tribunal civil dans la cause AC/347/2014.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