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AC/3453/2021 vom 18. März 2022</w:t>
      </w:r>
    </w:p>
    <w:p>
      <w:r>
        <w:t>GE Cour de justice, 2022-03-18, FR</w:t>
      </w:r>
    </w:p>
    <w:p>
      <w:r>
        <w:rPr>
          <w:b/>
        </w:rPr>
        <w:t xml:space="preserve">Quelle: </w:t>
      </w:r>
      <w:r>
        <w:t>https://mcp.opencaselaw.ch/entscheid/ge_gerichte_AC_3453_2021</w:t>
      </w:r>
    </w:p>
    <w:p>
      <w:r>
        <w:t>FR: GE_GERICHTE AC/3453/2021 du 18 mars 2022</w:t>
      </w:r>
    </w:p>
    <w:p>
      <w:r>
        <w:t>IT: GE_GERICHTE AC/3453/2021 del 18 marzo 2022</w:t>
      </w:r>
    </w:p>
    <w:p>
      <w:pPr>
        <w:pStyle w:val="Heading2"/>
      </w:pPr>
      <w:r>
        <w:t>Erwägungen</w:t>
      </w:r>
    </w:p>
    <w:p>
      <w:r>
        <w:rPr>
          <w:b/>
        </w:rPr>
        <w:t>E. 1.1</w:t>
      </w:r>
    </w:p>
    <w:p>
      <w:r>
        <w:t>En tant qu'elle refuse l'assistance juridique, la décision entreprise est sujette à recours auprès de la présidente de la Cour de justice (art. 10 al. 3 LPA).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pièces nouvelles produites par le recourant à l'appui de son recours ainsi que les allégués de fait y relatifs ne seront pas pris en considération.</w:t>
      </w:r>
    </w:p>
    <w:p>
      <w:r>
        <w:rPr>
          <w:b/>
        </w:rPr>
        <w:t>E. 3.1</w:t>
      </w:r>
    </w:p>
    <w:p>
      <w:r>
        <w:t>Reprenant l'art. 29 al. 3 Cst., l'art. 10 al. 2 LPA prévoit que l'assistance juridique est accordée à toute personne dont la fortune ou les revenus ne sont pas suffisants pour couvrir les frais d’une procédure administrative ou pour lui assurer l’aide et les conseils d’un avocat ou d’un avocat stagiaire lorsque ceux-ci sont nécessaires pour autant que ses prétentions ou moyens ne soient pas manifestement mal fondés.![endif]&gt;![if&gt;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L'absence de chances de succès peut résulter des faits ou du droit. L'assistance judiciaire sera ainsi refusée s'il apparaît d'emblée que les faits pertinents allégués sont invraisemblables ou ne pourront pas être prouvés. Il en sera de même si, en droit, la démarche du requérant paraît d'emblée irrecevable ou juridiquement infondée (arrêt du Tribunal fédéral 5D_83/2020 du 28 octobre 2020 consid. 5.3.2). La situation doit être appréciée à la date du dépôt de la requête et sur la base d'un examen sommaire (ATF 142 III 138 consid. 5.1; 133 III 614 consid. 5).</w:t>
      </w:r>
    </w:p>
    <w:p>
      <w:r>
        <w:rPr>
          <w:b/>
        </w:rPr>
        <w:t>E. 3.2</w:t>
      </w:r>
    </w:p>
    <w:p>
      <w:r>
        <w:t>Le 1 er janvier 2019, est entrée en vigueur une modification de la loi fédérale sur les étrangers du 16 décembre 2005 (LEtr), devenue la loi fédérale sur les étrangers et l'intégration du 16 décembre 2005 (LEI - RS 142.20). Selon l'art. 126 al. 1 LEI, les demandes déposées avant l'entrée en vigueur de ladite loi sont régies par l'ancien droit. En cas de révocation de l'autorisation d'établissement, le moment de l'ouverture de la procédure de révocation est déterminant (arrêts du Tribunal fédéral 2C_329/2020 du 10 juin 2020 consid. 3.2; 2C_1072/2019 du 25 mars 2020 consid. 7.1). En l'occurrence, dans la mesure où l’OCPM a manifesté son intention de proposer la révocation de l'autorisation d'établissement du recourant en 2021, la cause est régie par la LEI dans sa nouvelle teneur à compter du 1 er janvier 2019.</w:t>
      </w:r>
    </w:p>
    <w:p>
      <w:r>
        <w:rPr>
          <w:b/>
        </w:rPr>
        <w:t>E. 3.3</w:t>
      </w:r>
    </w:p>
    <w:p>
      <w:r>
        <w:t>Aux termes de l'art. 63 al. 1 LEI, l'autorisation d'établissement d'un étranger peut être révoquée, notamment si les conditions visées à l'art. 62 al. 1 let. a ou b LEI sont remplies, soit notamment si l'étranger a été condamné à une peine privative de liberté de longue durée ou a fait l'objet d'une mesure pénale prévue aux art. 59 à 61 ou 64 du Code pénal suisse du 21 décembre 1937 (CP - RS 311.0) ou s'il attente de manière très grave à la sécurité et à l'ordre publics en Suisse ou à l'étranger, les met en danger ou représente une menace pour la sécurité intérieure ou extérieure de la Suisse. Selon l'art. 63 al. 3 LEI, en vigueur depuis le 1 er octobre 2016, est illicite toute révocation fondée uniquement sur des infractions pour lesquelles un juge pénal a déjà prononcé une peine ou une mesure mais a renoncé à prononcer une expulsion. Le Tribunal fédéral a déjà eu l'occasion de préciser que l’art. 63 al. 3 LEI n'empêchait pas les autorités administratives de révoquer une autorisation d'établissement sur la base d'infractions exclusivement commises avant le 1 er octobre 2016. En effet, l'expulsion pénale des art. 66a et 66abis CP n'entre pas en ligne de compte pour ces dernières, de sorte que le juge pénal ne peut pas avoir renoncé à prononcer une telle mesure en ce qui les concerne. Les autorités administratives demeurent donc libres de révoquer l'autorisation de séjour ou d'établissement de l'étranger en se fondant sur ces infractions, la situation ne tombant manifestement pas sous le coup des art. 62 al. 2 et 63 al. 3 LEI (arrêts du Tribunal fédéral 2C_744/2019 du 20 août 2020 consid. 5.1; 2C_746/2019 du 11 mars 2020 consid. 4.3). La révocation de l'autorisation d'établissement d'un étranger qui séjourne depuis longtemps en Suisse doit se faire avec une retenue particulière, mais n'est pas exclue en cas d'infractions graves ou répétées, en particulier en cas de violence, de délits sexuels, de graves infractions à la loi fédérale sur les stupéfiants, même dans le cas d'un étranger né en Suisse et qui y a passé l'entier de sa vie. On tiendra alors particulièrement compte de l'intensité des liens de l'étranger avec la Suisse et des difficultés de réintégration dans son pays d'origine (ATF 139 I 16 consid. 2.2.1; 139 I 31 consid. 2.3.1; 139 I 145 consid. 2.4). D'après la jurisprudence, attente de manière très grave à la sécurité et l'ordre publics l'étranger dont les actes lèsent ou compromettent des biens juridiques particulièrement importants, tels que l'intégrité physique, psychique ou sexuelle d'une personne.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(ATF 137 II 297 consid. 3.3). En d'autres termes, des infractions qui, prises isolément, ne suffisent pas à justifier la révocation, peuvent, lorsqu'elles sont additionnées, satisfaire aux conditions de l'art. 63 al. 1 let. b LEtr (arrêts du Tribunal fédéral 2C_223/2020 du 6 août 2020 consid. 5.2; 2C_747/2019 du 19 novembre 2019 consid. 5.2.1; 2C_138/2018 du 16 janvier 2019 consid. 2.3 et les arrêts cités). La question de savoir si l'étranger est disposé ou apte à se conformer à l'ordre juridique suisse ne peut être résolue qu'à l'aide d'une appréciation globale de son comportement (ATF 139 I 16 consid. 2.1).</w:t>
      </w:r>
    </w:p>
    <w:p>
      <w:r>
        <w:rPr>
          <w:b/>
        </w:rPr>
        <w:t>E. 3.4</w:t>
      </w:r>
    </w:p>
    <w:p>
      <w:r>
        <w:t>Un étranger peut se prévaloir de l'art. 8 §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3.5</w:t>
      </w:r>
    </w:p>
    <w:p>
      <w:r>
        <w:t>En l'espèce, contrairement à ce que semble prétendre le recourant, il ressort de la décision du département du 15 novembre 2021 que celui-ci ne s’est pas uniquement basé sur la condamnation du 16 janvier 2020 pour retenir que l’intéressé avait attenté de manière très grave à la sécurité et l'ordre publics en Suisse, mais sur l’ensemble de ses condamnations. Par ailleurs, même à admettre que la dernière condamnation du recourant, datant du 16 janvier 2020, ne pourrait pas être prise en compte dans le cadre de l’examen des motifs de l’art. 63 al. 1 let. b LEI eu égard à l’art. 63 al. 3 LEI, les conditions permettant d’admettre que le recourant a attenté de manière très grave à la sécurité et l'ordre publics en Suisse apparaissent, prima facie, remplies. En effet, le recourant a été condamné à six reprises, entre les mois d'avril 2013 et mai 2015, pour vol, dommage à la propriété, tentative de vol, violation de domicile, infraction à la loi fédérale sur les stupéfiants, lésions corporelles simples et menaces. Même après avoir été averti, par courrier de l’OCPM du 11 février 2016, qu'une décision de révocation de son autorisation d'établissement pourrait être prise à son encontre s'il venait à commettre de nouvelles infractions, le recourant a, à nouveau, été condamné les 11 avril et 6 juin 2016 à une peine privative de liberté de 180 jours pour vol, tentative de vol, dommage à la propriété, violation de domicile et infraction à la loi fédérale sur les stupéfiants. En outre, même en ne tenant pas compte de la procédure pénale en cours diligentée contre le recourant, les infractions pour lesquelles celui-ci a été condamné de manière définitive sont suffisamment graves pour remplir la condition de la révocation. Contrairement à ce que relève le recourant, l’issue de la procédure pénale en cours n’est dès lors pas déterminante pour apprécier le présent litige. Sous l’angle de la proportionnalité, il convient de relever que le recourant, âgé de 31 ans, a effectivement passé pratiquement toute sa vie en Suisse, étant arrivé à Genève un peu avant ses deux ans. Cela étant, comme relevé par la Vice-présidente du Tribunal de première instance, il apparaît que le recourant a fait l’objet de nombreuses condamnations pour des faits graves et répétés, que la mise en garde de l’OCPM du 11 février 2016 n’a eu aucun effet dissuasif sur son comportement, que son comportement inadapté lors de son traitement institutionnel renforce l’opinion selon laquelle il refuse de se conformer à l’ordre public suisse, qu’il fait l’objet de divers actes de défaut de biens et poursuite pour un montant d’au moins 55'000 fr. et qu’il a bénéficié de prestations de l’Hospice général en 2018. Si le recourant expose que toute sa famille proche se trouve en Suisse, à l’exception de sa famille paternelle avec laquelle il n’aurait plus de contact, il ne prouve pas l’existence d’un lien de dépendance particulier tel que visé par la jurisprudence précitée, étant relevé qu'il n’a pas d’enfant. Par ailleurs, le recourant n'expose pas en quoi le fait qu'il entretienne une relation avec une ressortissante suisse serait susceptible d'augmenter les chances de succès du recours interjeté devant le TAPI. Au demeurant, au vu de ses différentes condamnations, dont la dernière est récente, et de sa privation de liberté, il apparaît que sa compagne a dès le début de leur relation eu connaissance de ses activités délictuelles, de sorte qu'elle pouvait et devait s'attendre à être séparée de son compagnon, pour cause de renvoi. Au vu de ce qui précède, la Vice-présidente du Tribunal de première instance était fondée à retenir que les chances de succès du recours du recourant au TAPI étaient très faibles. Un procès étant, selon la jurisprudence susmentionnée, considéré comme dépourvu de chances de succès lorsque les perspectives de le gagner sont notablement plus faibles que les risques de le perdre, c'est donc de manière conforme au droit qu’elle a refusé d'octroyer le bénéfice de l'assistance juridique au recourant aux fins d'interjeter ledit recours. Partant, le recours, entièrement mal 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