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AC/3439/2017 vom 8. Oktober 2018</w:t>
      </w:r>
    </w:p>
    <w:p>
      <w:r>
        <w:t>GE Cour de justice, 2018-10-08, FR</w:t>
      </w:r>
    </w:p>
    <w:p>
      <w:r>
        <w:rPr>
          <w:b/>
        </w:rPr>
        <w:t xml:space="preserve">Quelle: </w:t>
      </w:r>
      <w:r>
        <w:t>https://mcp.opencaselaw.ch/entscheid/ge_gerichte_AC_3439_2017</w:t>
      </w:r>
    </w:p>
    <w:p>
      <w:r>
        <w:t>FR: GE_GERICHTE AC/3439/2017 du 8 octobre 2018</w:t>
      </w:r>
    </w:p>
    <w:p>
      <w:r>
        <w:t>IT: GE_GERICHTE AC/3439/2017 del 8 ottobre 2018</w:t>
      </w:r>
    </w:p>
    <w:p>
      <w:pPr>
        <w:pStyle w:val="Heading2"/>
      </w:pPr>
      <w:r>
        <w:t>Regeste</w:t>
      </w:r>
    </w:p>
    <w:p>
      <w:r>
        <w:t>AVOCAT D'OFFICE ; CHOIX DE L'AVOCAT ; REMPLACEMENT ; RELATION DE CONFIANCE</w:t>
      </w:r>
    </w:p>
    <w:p>
      <w:pPr>
        <w:pStyle w:val="Heading2"/>
      </w:pPr>
      <w:r>
        <w:t>Erwägungen</w:t>
      </w:r>
    </w:p>
    <w:p>
      <w:r>
        <w:rPr>
          <w:b/>
        </w:rPr>
        <w:t>E. 1.1</w:t>
      </w:r>
    </w:p>
    <w:p>
      <w:r>
        <w:t>. En tant qu'elle refuse un changement d'avocat d'office,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14 al. 2 RAJ).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La fourniture d'un conseil juridique rémunéré par l'Etat suppose la réalisation de trois conditions : une cause non dénuée de chances de succès, l'indigence et la nécessité de l'assistance par un professionnel (ATF 141 III 560 consid. 3.2.1). Le conseil juridique commis d'office n'exerce pas un mandat privé, mais accomplit une tâche de droit public.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ainsi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 qui est tenu d'accepter le mandat d'assistance -, est seul compétent pour le délier de cette fonction et décide de sa rémunération. Le mandat d'office ne consiste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w:t>
      </w:r>
    </w:p>
    <w:p>
      <w:r>
        <w:rPr>
          <w:b/>
        </w:rPr>
        <w:t>E. 3.2</w:t>
      </w:r>
    </w:p>
    <w:p>
      <w:r>
        <w:t>Selon la jurisprudence, il n'existe pas, dans le cadre de l'assistance judiciaire, un droit au libre choix de son mandataire (ATF 139 IV 113 consid. 1.1; 135 I 261 consid. 1.2; 125 I 161 consid. 3b; 114 Ia 101 consid. 3; arrêts du Tribunal fédéral 4A_106/2017 du 4 juillet 2017 consid. 3.2; 5A_63/2010 du 29 mars 2010; 2D_144/2008 du 23 mars 2009 consid. 5.1). De même, les requêtes de changement d'avocat d'office (cf. en droit genevois l'art. 14 RAJ) ne sont admises que pour des raisons objectives; des motifs purement subjectifs ne suffisent pas.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114 Ia 101 consid. 2; arrêt du Tribunal fédéral 5A_643/2010 du 11 janvier 2011 consid. 4.3; arrêt du Tribunal fédéral 6S.103/2003 du 2 avril 2004 consid. 2.1). Le simple fait que le client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w:t>
      </w:r>
    </w:p>
    <w:p>
      <w:r>
        <w:rPr>
          <w:b/>
        </w:rPr>
        <w:t>E. 3.3</w:t>
      </w:r>
    </w:p>
    <w:p>
      <w:r>
        <w:t>En l'espèce, il n'apparaît pas, à teneur des éléments figurant au dossier, que M e E______ ait défendu de manière inadéquate les intérêts de sa mandante, les griefs soulevés par la recourante (manque de soutien et insatisfaction quant au déroulement de la procédure) n'ayant été aucunement développés devant l'autorité de première instance et constituant, en tout état de cause, des motifs purement subjectifs, non suffisants pour justifier un changement d'avocat. Il en va de même du souhait exprimé par la recourante d'être défendue par une nouvelle avocate qui puisse avoir un regard nouveau sur la situation. Compte tenu des faits portés à sa connaissance, c'est ainsi à bon droit que l'Autorité de première instance a refusé le changement d'avocat sollicité au motif que les conditions posées par l'art. 14 RAJ n'étaient pas réalisées.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24 juillet 2018 par A______ contre la décision rendue le 13 juillet 2018 par le Vice-président du Tribunal civil dans la cause AC/3439/2017.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