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AC/3437/2020 vom 27. November 2020</w:t>
      </w:r>
    </w:p>
    <w:p>
      <w:r>
        <w:t>GE Cour de justice, 2020-11-27, FR</w:t>
      </w:r>
    </w:p>
    <w:p>
      <w:r>
        <w:rPr>
          <w:b/>
        </w:rPr>
        <w:t xml:space="preserve">Quelle: </w:t>
      </w:r>
      <w:r>
        <w:t>https://mcp.opencaselaw.ch/entscheid/ge_gerichte_AC_3437_2020</w:t>
      </w:r>
    </w:p>
    <w:p>
      <w:r>
        <w:t>FR: GE_GERICHTE AC/3437/2020 du 27 novembre 2020</w:t>
      </w:r>
    </w:p>
    <w:p>
      <w:r>
        <w:t>IT: GE_GERICHTE AC/3437/2020 del 27 novembre 2020</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art. 8 al. 3 RAJ). Il appartient en particulier au recourant de motiver en droit son recours et de démontrer l'arbitraire des faits retenus par l'instance inférieure (HOHL, Procédure civile, tome II, 2e éd., n. 2513-2515, p. 453).</w:t>
      </w:r>
    </w:p>
    <w:p>
      <w:r>
        <w:rPr>
          <w:b/>
        </w:rPr>
        <w:t>E. 2</w:t>
      </w:r>
    </w:p>
    <w:p>
      <w:r>
        <w:t>A teneur de l'art. 326 al. 1 CPC, les allégations de faits et les preuves nouvelles sont irrecevables dans le cadre d'une procédure de recours. Par conséquent, les allégués de faits dont la recourante n'a pas fait état en première instance et les pièces nouvelles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Seules les charges réellement acquittées sont susceptibles d'entrer dans le calcul du minimum vital, la situation économique existant au moment du dépôt de la requête étant déterminante (ATF 135 I 221 consid. 5.1; arrêt du Tribunal fédéral 4D_19/2016 du 11 avril 2016 consid. 4.1). Il incombe au requérant d'indiquer de manière complète et d'établir autant que faire se peut ses revenus, sa situation de fortune et ses charges (art. 119 al. 2 CPC et 7 al. 2 RAJ; ATF 135 I 221 consid. 5.1; arrêt du Tribunal fédéral 2C_585/2015 du 30 novembre 2015 consid. 5). La part des ressources excédant ce qui est nécessaire à la couverture des besoins personnels doit être comparée, dans chaque cas,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141 III 369 consid. 4.1; 135 I 221 consid. 5.1).</w:t>
      </w:r>
    </w:p>
    <w:p>
      <w:r>
        <w:rPr>
          <w:b/>
        </w:rPr>
        <w:t>E. 3.2</w:t>
      </w:r>
    </w:p>
    <w:p>
      <w:r>
        <w:t>En l'espèce, c'est à raison que la recourante se plaint du montant retenu par l'Autorité intimée à titre de ressources, puisque le contrat de travail produit en première instance fait état d'un salaire mensuel brut (et non net) de 4'952 fr. 15, soit, après déductions sociales en 15%, d'environ 4'210 fr. Cette erreur ne porte toutefois pas à conséquence puisqu'avec un salaire mensuel net de 4'210 fr. et des charges mensuelles incontestées de 3'476 fr. 45, le disponible mensuel de la recourante dépasse encore de 733 fr. 55 son minimum vital élargi, montant suffisant pour couvrir en une année les éventuels honoraires de son avocat, au besoin par mensualités. C'est par conséquent à bon droit, sur les base des éléments portés à sa connaissance, que l'Autorité de première instance a refusé d'accorder l'assistance juridique à la recourante, faute d'indigence. Partant, le recours, infondé, sera rejeté.</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le 14 décembre 2020 par A______ contre la décision rendue le 27 novembre 2020 par la Vice-présidente du Tribunal de première instance dans la cause AC/3437/2020.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