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AC/3424/2016 vom 16. Januar 2017</w:t>
      </w:r>
    </w:p>
    <w:p>
      <w:r>
        <w:t>GE Cour de justice, 2017-01-16, FR</w:t>
      </w:r>
    </w:p>
    <w:p>
      <w:r>
        <w:rPr>
          <w:b/>
        </w:rPr>
        <w:t xml:space="preserve">Quelle: </w:t>
      </w:r>
      <w:r>
        <w:t>https://mcp.opencaselaw.ch/entscheid/ge_gerichte_AC_3424_2016</w:t>
      </w:r>
    </w:p>
    <w:p>
      <w:r>
        <w:t>FR: GE_GERICHTE AC/3424/2016 du 16 janvier 2017</w:t>
      </w:r>
    </w:p>
    <w:p>
      <w:r>
        <w:t>IT: GE_GERICHTE AC/3424/2016 del 16 gennaio 2017</w:t>
      </w:r>
    </w:p>
    <w:p>
      <w:pPr>
        <w:pStyle w:val="Heading2"/>
      </w:pPr>
      <w:r>
        <w:t>Regeste</w:t>
      </w:r>
    </w:p>
    <w:p>
      <w:r>
        <w:t>CHANCES DE SUCCÈS ; PROTECTION DE L'UNION CONJUGALE ; MODIFICATION DES CIRCONSTANCES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Une fois les mesures protectrices de l'union conjugale prononcées,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La maxime inquisitoire ne dispense pas les parties de collaborer à l'établissement des faits (arrêts du Tribunal fédéral 5A_138/2015 du 1er avril 2015 consid. 3.1; 5A_608/2014 du 16 décembre 2014 consid. 4.2.1).</w:t>
      </w:r>
    </w:p>
    <w:p>
      <w:r>
        <w:rPr>
          <w:b/>
        </w:rPr>
        <w:t>E. 2.3</w:t>
      </w:r>
    </w:p>
    <w:p>
      <w:r>
        <w:t>En l'espèce, contrairement à ce qu'avait retenu le Tribunal, la recourante n'est toujours pas en mesure de travailler. L'état de santé de la recourante n’ayant apparemment pas connu d’amélioration depuis le mois d'octobre 2015, il paraît vraisemblable qu'il ne se modifiera pas prochainement. Il ne paraît dès lors pas improbable que le Tribunal considère qu'il est nécessaire de prononcer de nouvelles mesures protectrices en tenant compte de l'état de santé actuel de la recourante. Par conséquent, c'est à tort que la Vice-présidente du Tribunal civil a considéré que la cause de la recourante était dénuée de chances de succès. Le recours sera admis, la décision querellée annulée et la cause renvoyée au premier juge pour examen de la condition d'indigence et, cas échéant, octroi de l'assistance juridique à la recourante pour la procédure envisagée.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janvier 2017 par la Vice-présidente du Tribunal civil dans la cause AC/3424/2016. Au fond : Annule la décision entreprise. Cela fait et statuant à nouveau : Renvoie la cause à la Vice-présidente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