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AC/3423/2020 vom 16. Dezember 2020</w:t>
      </w:r>
    </w:p>
    <w:p>
      <w:r>
        <w:t>GE Cour de justice, 2020-12-16, FR</w:t>
      </w:r>
    </w:p>
    <w:p>
      <w:r>
        <w:rPr>
          <w:b/>
        </w:rPr>
        <w:t xml:space="preserve">Quelle: </w:t>
      </w:r>
      <w:r>
        <w:t>https://mcp.opencaselaw.ch/entscheid/ge_gerichte_AC_3423_2020</w:t>
      </w:r>
    </w:p>
    <w:p>
      <w:r>
        <w:t>FR: GE_GERICHTE AC/3423/2020 du 16 décembre 2020</w:t>
      </w:r>
    </w:p>
    <w:p>
      <w:r>
        <w:t>IT: GE_GERICHTE AC/3423/2020 del 16 dicembre 2020</w:t>
      </w:r>
    </w:p>
    <w:p>
      <w:pPr>
        <w:pStyle w:val="Heading2"/>
      </w:pPr>
      <w:r>
        <w:t>Erwägungen</w:t>
      </w:r>
    </w:p>
    <w:p>
      <w:r>
        <w:rPr>
          <w:b/>
        </w:rPr>
        <w:t>E. 1.1</w:t>
      </w:r>
    </w:p>
    <w:p>
      <w:r>
        <w:t>En tant qu'elle refuse un changement d'avocat, la décision entreprise, rendue en procédure sommaire (art. 119 al. 3 CPC), est sujette à recours auprès de la Présidente de la Cour de justice (art. 14 al. 2 RAJ,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 al. 2 RAJ).</w:t>
      </w:r>
    </w:p>
    <w:p>
      <w:r>
        <w:rPr>
          <w:b/>
        </w:rPr>
        <w:t>E. 1.2</w:t>
      </w:r>
    </w:p>
    <w:p>
      <w:r>
        <w:t>En l'espèce, le recours est recevable pour avoir été interjeté dans le délai utile et en la forme écrite prescrite par la loi. Bien que la recourante n'ait pas pris de conclusions formelles, l'on comprend qu'elle souhaite que la décision entreprise soit annulée et que le changement d'avocat sollicité lui soit accordé. Il sera donc entré en matière sur le recours.</w:t>
      </w:r>
    </w:p>
    <w:p>
      <w:r>
        <w:rPr>
          <w:b/>
        </w:rPr>
        <w:t>E. 1.3</w:t>
      </w:r>
    </w:p>
    <w:p>
      <w:r>
        <w:t>Lorsque la Cour est saisie d'un recours,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Selon la jurisprudence, il n'existe pas, dans le cadre de l'assistance judiciaire, un droit au libre choix de son mandataire (ATF 139 IV 113 consid. 1.1; 135 I 261 consid. 1.2; arrêt du Tribunal fédéral 2C_71/2017 du 23 août 2017 consid. 7.1).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 ou la rupture de la relation de confiance (art. 14 al. 1 RAJ). Un changement d'avocat d'office ne peut ainsi intervenir que pour des raisons objectives; des motifs purement subjectifs ne suffisent pas.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 Le simple fait que le client n'a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w:t>
      </w:r>
    </w:p>
    <w:p>
      <w:r>
        <w:rPr>
          <w:b/>
        </w:rPr>
        <w:t>E. 2.2</w:t>
      </w:r>
    </w:p>
    <w:p>
      <w:r>
        <w:t>En l'espèce, il n'apparaît pas, à teneur des éléments figurant au dossier, que Me B______ ait défendu de manière inadéquate les intérêts de la recourante entre la date de prise d'effet de sa nomination d'office, soit le 25 novembre 2020, et la date à laquelle la recourante a exprimé son refus qu'elle continue de l'assister, soit le 30 novembre 2020. Il résulte en effet de son état de frais qu'elle a, durant ce court laps de temps, procédé à deux entretiens, dont un avec sa cliente, qu'elle a eu cinq échanges téléphoniques avec cette dernière et rédigé quatre correspondances. Elle s'est également, comme le relève justement l'autorité précédente, procuré le dossier du TPAE puisque la recourante avait reçu une copie de celui-ci lorsqu'elle a sollicité le changement d'avocat. Ainsi, au vu des nombreuses démarches effectuées par Me B______ durant les quelques jours qui se sont écoulés entre le début de son mandat d'office et la demande de changement d'avocat, les reproches formulés par la recourante à son égard (absence de soutien, manque de communication, inactivité) n'apparaissent pas objectivement fondés. Il sera à cet égard précisé que la demande de changement de mandataire de la recourante concerne la procédure devant le TPAE et non celle en divorce pour laquelle Me B______ a également été nommée en qualité de conseil d'office, de sorte que la qualité du travail fourni doit être examinée au regard de l'activité déployée dans cette première procédure. Au vu de ce qui précède, c'est à juste titre que le premier juge a, sur la base des éléments portés à sa connaissance, refusé le changement d'avocat sollicité au motif que les conditions posées par l'art. 14 RAJ n'étaient pas réalisées.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16 décembre 2020 par la Vice-présidente du Tribunal de première instance dans la cause AC/3423/2020.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