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AC/3408/2015 vom 3. Januar 2017</w:t>
      </w:r>
    </w:p>
    <w:p>
      <w:r>
        <w:t>GE Cour de justice, 2017-01-03, FR</w:t>
      </w:r>
    </w:p>
    <w:p>
      <w:r>
        <w:rPr>
          <w:b/>
        </w:rPr>
        <w:t xml:space="preserve">Quelle: </w:t>
      </w:r>
      <w:r>
        <w:t>https://mcp.opencaselaw.ch/entscheid/ge_gerichte_AC_3408_2015</w:t>
      </w:r>
    </w:p>
    <w:p>
      <w:r>
        <w:t>FR: GE_GERICHTE AC/3408/2015 du 3 janvier 2017</w:t>
      </w:r>
    </w:p>
    <w:p>
      <w:r>
        <w:t>IT: GE_GERICHTE AC/3408/2015 del 3 gennaio 2017</w:t>
      </w:r>
    </w:p>
    <w:p>
      <w:pPr>
        <w:pStyle w:val="Heading2"/>
      </w:pPr>
      <w:r>
        <w:t>Regeste</w:t>
      </w:r>
    </w:p>
    <w:p>
      <w:r>
        <w:t>RESTITUTION(EN GÉNÉRAL) ; NOTIFICATION IRRÉGULIÈRE | CPC.123.1 CPC.137 RAJ.19.3</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l'Etat peut être exigé.![endif]&gt;![if&gt;</w:t>
      </w:r>
    </w:p>
    <w:p>
      <w:r>
        <w:rPr>
          <w:b/>
        </w:rPr>
        <w:t>E. 2.2</w:t>
      </w:r>
    </w:p>
    <w:p>
      <w:r>
        <w:t>Lorsque la partie est représentée, les actes sont notifiés à son représentant (art. 137 CPC). Celui-ci est en principe le mieux à même de saisir la portée des communications judiciaires et de transmettre ensuite les informations nécessaires à son mandant (Bohnet, Code de procédure civile commenté, Bâle 2011, n. 3 ad art. 137 CPC ; arrêt du Tribunal fédéral 9C_411/2008 du 17 septembre 2008 consid. 3). La notification n'est accomplie que lorsqu'elle est faite au représentant et non pas déjà au représenté (ATF 113 Ib 296 consid. 2). La notification irrégulière d'une décision ne doit entraîner aucun préjudice pour les parties; toutefois, la protection des parties est suffisamment réalisée lorsque la notification atteint son but malgré l'irrégularité. Il y a donc lieu d'examiner, d'après les circonstances du cas concret, si la partie intéressée a réellement été induite en erreur par l'irrégularité de la notification et a, de ce fait, subi un préjudice. Il s'impose de s'en tenir aux règles de la bonne foi, qui imposent une limite à l'invocation d'un vice de forme (arrêt du Tribunal fédéral 4A_14/2015 du 26 février 2015 consid. 3).</w:t>
      </w:r>
    </w:p>
    <w:p>
      <w:r>
        <w:rPr>
          <w:b/>
        </w:rPr>
        <w:t>E. 2.3</w:t>
      </w:r>
    </w:p>
    <w:p>
      <w:r>
        <w:t>En l'espèce, la recourante était représentée par son conseil dans le cadre de sa requête d'assistance juridique. Le greffe de l'assistance juridique n'a cependant pas envoyé à l'avocat de la recourante le courrier du 9 novembre 2016, destiné à actualiser la situation financière de celle-ci. La notification de ce courrier n'a, dès lors, pas été accomplie. Pouvant de bonne foi s'attendre à ce que le courrier du 9 novembre 2016 soit adressé à son conseil, la recourante n'y a pas donné suite et a fait l'objet de la décision querellée sans pouvoir actualiser sa situation financière. Elle a, de ce fait, subi un préjudice. Par conséquent, la décision querellée sera annulée et la cause sera renvoyée à l'autorité de première instance pour réexaminer la situation financière de la recourante et rendre une éventuelle nouvelle décision.</w:t>
      </w:r>
    </w:p>
    <w:p>
      <w:r>
        <w:rPr>
          <w:b/>
        </w:rPr>
        <w:t>E. 3</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3 janvier 2017 par le Vice-président du Tribunal civil dans la cause AC/3408/2015. Au fond : Annule la décision querellée et renvoie la cause à l'autorité de première instance pour réexamen de la situation financière de A______ et éventuelle nouvelle décision. Déboute A______ de toutes autres conclusions. Dit qu'il n'est pas perçu de frais judiciaires pour le recours. Notifie une copie de la présente décision à A______ en l'Étude de M e Mattia DEBERTI (art. 137 CPC). Siégeant : Monsieur Patrick CHENAUX, vice-président; Monsieur David VAZQUEZ, commis-greffier.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