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AC/33/2012 vom 17. April 2013</w:t>
      </w:r>
    </w:p>
    <w:p>
      <w:r>
        <w:t>GE Cour de justice, 2013-04-17, FR</w:t>
      </w:r>
    </w:p>
    <w:p>
      <w:r>
        <w:rPr>
          <w:b/>
        </w:rPr>
        <w:t xml:space="preserve">Quelle: </w:t>
      </w:r>
      <w:r>
        <w:t>https://mcp.opencaselaw.ch/entscheid/ge_gerichte_AC_33_2012</w:t>
      </w:r>
    </w:p>
    <w:p>
      <w:r>
        <w:t>FR: GE_GERICHTE AC/33/2012 du 17 avril 2013</w:t>
      </w:r>
    </w:p>
    <w:p>
      <w:r>
        <w:t>IT: GE_GERICHTE AC/33/2012 del 17 aprile 2013</w:t>
      </w:r>
    </w:p>
    <w:p>
      <w:pPr>
        <w:pStyle w:val="Heading2"/>
      </w:pPr>
      <w:r>
        <w:t>Regeste</w:t>
      </w:r>
    </w:p>
    <w:p>
      <w:r>
        <w:t>CHANCES DE SUCCÈS |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À teneur l'art. 326 al. 1 CPC, les allégations de faits et les preuves nouvelles sont irrecevables dans le cadre d'une procédure de recours. D'après l'art. 327 al. 2 CPC, l'autorité de recours peut statuer sur pièces. Par conséquent, il ne sera pas donné suite à la requête d'audition du recourant, une telle audition n'étant pas susceptible d'apporter des éléments nouveaux pertinents pour l'issue du litige, vu le pouvoir de cognition limité de la Cour. La Cour est en effet en possession non seulement du jugement du Tribunal attaqué, mais également de l'acte de recours. Le recourant n'explique d'ailleurs ni en quoi son audition en audience publique serait utile pour statuer, ni sur quels points son interrogatoire devrait porter. Sa demande d'audition en audience publique ne poursuit qu'un but dilatoire et doit, partant, être qualifiée d'abusive. En conséquence, l'Autorité de céans statuera sur la base du dossier.</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D'après l'art. 319 CPC (applicable à la procédure au fond de par l'art. 405 CPC), le recours est notamment recevable contre les ordonnances d'instruction de première instance lorsqu’elles peuvent causer un préjudice difficilement réparable. a.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 ACJC/363/2013 consid. 1.3 ; Jeandin, Code de procédure civile commenté, 2011, n. 22 ad art. 319 CPC). Si cette condition n'est pas remplie, la partie doit attaquer l'ordonnance avec la décision finale sur le fond ACJC/363/2013 consid. 1.3). b. Aux termes de l'art. 240 al. 1 et 3 aLPC (applicable de par l'art. 404 CPC), si l’une ou l’autre des parties demande à produire de nouveaux témoins, le juge ordonne la prorogation de l’enquête. Il n’est jamais accordé plus d’une prorogation à chaque partie. Il n'en est autrement qu'en présence de faits nouveaux, soit ceux intervenus ou appris postérieurement à l'ordonnance d'enquêtes. L’exception des faits nouveaux n’est pas réalisée lorsqu’on découvre l’adresse d’un témoin, ignorée jusque-là. En effet, cette adresse ne se rapporte pas aux faits de la cause proprement dits (Bertossa/ Gaillard/Guyet/ Schmidt, op. cit., n. 3 ad art. 240 aLPC). L'initiative de la citation d'un témoin incombant aux seules parties, à l'exclusion du juge, c'est à la partie qui souhaite faire citer un témoin de procéder aux recherches utiles, et c'est elle qui supportera les conséquences d'une lacune ou d'une inexactitude du point de vue de la liste des témoins (Bertossa/Gaillard/Guyet/ Schmidt, op. cit. , n. 3 et 4 ad art. 215 aLPC). L’art. 240 al. 3 aLPC a pour but d’éviter que les enquêtes ne rebondissent indéfiniment (SJ 1976 p. 155).</w:t>
      </w:r>
    </w:p>
    <w:p>
      <w:r>
        <w:rPr>
          <w:b/>
        </w:rPr>
        <w:t>E. 2.3</w:t>
      </w:r>
    </w:p>
    <w:p>
      <w:r>
        <w:t>En l'espèce, au vu des règles de procédure susmentionnées, il est douteux que le recours interjeté à l'encontre de l'ordonnance du TPI du 14 mars 2013 soit recevable, dès lors que le refus d'auditionner des témoins n'est pas, prima facie , susceptible de causer un préjudice irréparable. Au demeurant, même si le recours devait être déclaré recevable, les chances de succès paraissent très faibles. En effet, les indications données par le témoin B______ ne constituent pas un fait nouveau - qui aurait seul pu justifier une nouvelle prorogation d'enquêtes - mais une circonstance dont le recourant aurait pu avoir connaissance en temps utile en faisant preuve de diligence, étant précisé qu'aucune règle déontologique n'empêche une partie à un procès de vérifier qu'un témoin dont il entend demander l'audition en sa qualité d'employé d'une régie soit effectivement en charge de la gestion d'un immeuble ou d'un appartement en cause (cf. art. 11 des Us et coutumes du Barreau de Genève, qui prévoit que "l'avocat doit s'interdire de discuter avec un témoin de sa déposition et de l'influencer de quelque manière que ce soit"). Compte tenu de ce qui précède, c'est à bon droit que l'Autorité de première instance a rejeté la demande d'extension de l'assistance juridique au motif que le recours contre l'ordonnance du TPI était dénué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 Présidence de la Cour,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A la forme : Déclare recevable le recours formé par A______ contre la décision rendue le 17 avril 2013 par la Vice-présidente du Tribunal civil dans la cause AC/33/2012. Au fond : Rejette le recours. Déboute A______ de toutes autres conclusions. Dit qu'il n'est pas perçu de frais judiciaires, ni alloué de dépens. Notifie une copie de la présente décision à A______ en l'Étude de M e Romain JORDAN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