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AC/3372/2024 vom 9. Januar 2025</w:t>
      </w:r>
    </w:p>
    <w:p>
      <w:r>
        <w:t>GE Cour de justice, 2025-01-09, FR</w:t>
      </w:r>
    </w:p>
    <w:p>
      <w:r>
        <w:rPr>
          <w:b/>
        </w:rPr>
        <w:t xml:space="preserve">Quelle: </w:t>
      </w:r>
      <w:r>
        <w:t>https://mcp.opencaselaw.ch/entscheid/ge_gerichte_AC_3372_2024</w:t>
      </w:r>
    </w:p>
    <w:p>
      <w:r>
        <w:t>FR: GE_GERICHTE AC/3372/2024 du 9 janvier 2025</w:t>
      </w:r>
    </w:p>
    <w:p>
      <w:r>
        <w:t>IT: GE_GERICHTE AC/3372/2024 del 9 gennaio 2025</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 Ainsi, le budget nouvellement exposé par la recourante, le versement de 1'000 fr. du 13 janvier 2025 en faveur de son conseil, la facture dudit conseil de 9'130 fr. 70 du 5 décembre 2024 pour la procédure au Tribunal fédéral, ses arriérés d'impôts ICC 2022 et le décompte de son assurance-maladie de janvier 2025 sont des pièces irrecevables, de même que les faits qui en résultent.</w:t>
      </w:r>
    </w:p>
    <w:p>
      <w:r>
        <w:rPr>
          <w:b/>
        </w:rPr>
        <w:t>E. 3</w:t>
      </w:r>
    </w:p>
    <w:p>
      <w:r>
        <w:t>La recourante reproche à l'Autorité de première instance d'avoir pris en compte les revenus mensuels issus de la sous-location en 2'876 fr. 25 et de sa pension alimentaire de 3'000 fr. Les produits de la sous-location sont à son sens " aléatoires, irréguliers, variables et imprévisibles " et leur moyenne représente une " projection financière qui ne correspond pas à la réalité ", s'agissant de " gains hypothétiques et aucunement garantis ". Elle n'avait perçu aucun revenu à ce titre en novembre et décembre 2024 et, en l'absence de sous-location prévue, tel serait le cas pour les mois à venir. Au terme de la procédure de divorce, soit " ces prochains mois ", elle ne percevrait plus la pension alimentaire de 3'000 fr., et devrait restituer à son ex-mari l'appartement faisant l'objet des sous-locations C______, celui-ci l'ayant mis " gracieusement à [sa] disposition (…)". La recourante fait également valoir sa dette fiscale et ses frais médicaux. La dette d'impôts, selon ses explications, était proche de 25'000 fr. et résultait d'un splitting décidé avec effet rétroactif au 1 er janvier 2020, avec, pour conséquence, que sa taxation annuelle de 2'400 fr. avait été portée à 12'000 fr., parce qu'elle relevait du barème d'une " personne seule et sans charges ", mais assumait néanmoins des dépenses pour ses enfants. Les frais médicaux annuels, en sus de la franchise et de la quote-part, s'élevaient, entre 6'000 fr. et 7'000 fr. Sa " maigre épargne ", selon son affirmation, venait à s'épuiser. Enfin, sa situation financière n'était pas différente de celle des autres années, durant lesquelles ses demandes d'assistance juridique avaient toutes été acceptées.</w:t>
      </w:r>
    </w:p>
    <w:p>
      <w:r>
        <w:rPr>
          <w:b/>
        </w:rPr>
        <w:t>E. 3.1.1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arrêts du Tribunal fédéral 4A_318/2023 du 14 juillet 2023 consid. 2.3; 5A_647/2023 du 5 mars 2024 consid. 5.2; 5A_524/2023 du 14 décembre 2023 consid. 3.3.1 et les références citées).</w:t>
      </w:r>
    </w:p>
    <w:p>
      <w:r>
        <w:rPr>
          <w:b/>
        </w:rPr>
        <w:t>E. 3.1.2</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arrêts du Tribunal fédéral 2C_585/2015 du 30 novembre 2015 consid. 5).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(arrêts du Tribunal fédéral 7B_846/2023 du 9 janvier 2024 consid. 2.2; 1B_139/2022 du 2 mai 2022 consid.3.1; 4A_48/2021 du 21 juin 2021 consid. 4), la prime d'assurance maladie obligatoire et les frais de transport nécessaires à l'acquisition du revenu, qui sont établis par pièces (arrêt du Tribunal fédéral 7B_846/2023 du 9 janvier 2024 consid. 2.2).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les revenus mensuels nets de la recourante, issus de la sous-location C______, ne sont pas aussi précaires et aléatoires qu'elle l'expose, mais sont récurrents, puisqu'elle les perçoit au moins depuis octobre 2022, et sont d'un montant stable, quelque peu inférieur à 3'000 fr. Ainsi, au jour du dépôt de la requête d'assistance juridique, le 23 décembre 2024, elle percevait effectivement un revenu mensuel net moyen de 2'876 fr. 25, ce qui ressort du relevé annuel 2024 de C______, et a continué à l'encaisser, puisqu'elle a admis, dans son recours du 21 janvier 2025, que cette activité de sous-location n'avait pas encore pris fin. L'absence de revenu, uniquement en décembre 2024, n'est pas généralisable aux autres mois de l'année, puisqu'à partir de janvier, et jusqu'en octobre inclus (hormis juin et août), les revenus mensuels sont supérieurs à 3'500 fr. Or, aucun élément ne permet de retenir qu'une diminution du produit de ces sous-locations pourrait survenir en 2025. Si tel devait être néanmoins le cas, la recourante pourra solliciter à nouveau l'octroi de l'assistance juridique. Par conséquent, c'est avec raison que le montant de 2'876 fr. 25 a été pris en compte dans les ressources mensuelles de la recourante. La pension alimentaire de 3'000 fr. par mois décidée par le juge des mesures protectrices de l'union conjugale continue à être perçue par la recourante, puisque la procédure de divorce est en cours, la Cour devant statuer à nouveau sur le jugement du 27 juin 2022, à la suite du renvoi de la cause par le Tribunal fédéral. Par ailleurs, la recourante n'a pas allégué que son ex-mari ne la verserait pas ou avec du retard. C'est, dès lors, avec raison, que cette pension alimentaire a été incluse dans les ressources mensuelles de la recourante. S'agissant de sa dette envers l'Administration fiscale, il ne ressort pas du dossier que celle-ci serait proche de 25'000 fr. Elle totalisait 10'297 fr. 65 pour l'imposition de 2023 (ICC et IFD). Cependant, comme la recourante n'a pas justifié de son remboursement par mensualités, l'Autorité de première instance n'a pas pu prendre en considération cet arriéré d'impôt. En revanche, cette Autorité a pris en compte la somme mensualisée de 634 fr. 45 en relation avec l'ICC 2021, acquittée par la recourante. Pour le surplus, il appartenait à la recourante de motiver son recours sur ce point, en expliquant les raisons pour lesquelles, pièces à l'appui, l'Autorité de première instance aurait dû retenir un montant supérieur à celui de 634 fr. 45. La charge fiscale sera confirmée à ce montant-là, favorable à la recourante, dans la mesure où le montant mensualisé correspondant à ses versements est de 521 fr. 95. Par ailleurs, elle n'a pas exposé, devant l'Autorité de première instance, les charges qu'elle assumerait encore pour ses filles majeures, qui ne vivent pas auprès d'elle. De même, la recourante n'a pas motivé son recours s'agissant de ses frais médicaux, se limitant à articuler une somme annuelle d'environ 6'000 fr. à 7'000 fr. A cet égard, ses frais dentaires ont été retenus à hauteur de 387 fr. 40, tandis que s'ils avaient été mensualisés et ajoutés à ses frais maladie non remboursés, également mensualisés, la somme totale aurait été de 219 fr. 25. A nouveau, le montant retenu par la première instance est favorable à la recourante et sera confirmé à 387 fr. 40 par mois. Par ailleurs, le loyer a été retenu à hauteur de 2'199 fr., la recourante a évoqué une remise à titre gratuit et a justifié de paiements de 2'020 fr. à ce titre. Il s'agit également d'une charge qui a été estimée en faveur de la recourante. Il résulte de ce qui précède que la condition d'indigence n'est pas réalisée et l'affirmation de la recourante selon laquelle elle entamerait son épargne ne permet pas une autre issue du litige. Le recours, infondé, sera dès lors rejeté. La recourante, si elle s'y sent fondée, pourra déposer une nouvelle requête d'assistance juridique en cas de péjoration de sa situation financière et produire, notamment, les pièces qui ont été écartées dans la présente procédure.</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21 janvier 2025 par A______ contre la décision rendue le 9 janvier 2025 par la vice-présidence du Tribunal civil dans la cause AC/3372/2024.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