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AC/3371/2017 vom 30. November 2017</w:t>
      </w:r>
    </w:p>
    <w:p>
      <w:r>
        <w:t>GE Cour de justice, 2017-11-30, FR</w:t>
      </w:r>
    </w:p>
    <w:p>
      <w:r>
        <w:rPr>
          <w:b/>
        </w:rPr>
        <w:t xml:space="preserve">Quelle: </w:t>
      </w:r>
      <w:r>
        <w:t>https://mcp.opencaselaw.ch/entscheid/ge_gerichte_AC_3371_2017</w:t>
      </w:r>
    </w:p>
    <w:p>
      <w:r>
        <w:t>FR: GE_GERICHTE AC/3371/2017 du 30 novembre 2017</w:t>
      </w:r>
    </w:p>
    <w:p>
      <w:r>
        <w:t>IT: GE_GERICHTE AC/3371/2017 del 30 novembre 2017</w:t>
      </w:r>
    </w:p>
    <w:p>
      <w:pPr>
        <w:pStyle w:val="Heading2"/>
      </w:pPr>
      <w:r>
        <w:t>Regeste</w:t>
      </w:r>
    </w:p>
    <w:p>
      <w:r>
        <w:t>CHANCES DE SUCCÈS ; ACTION EN REVENDICATION(DROITS RÉELS)</w:t>
      </w:r>
    </w:p>
    <w:p>
      <w:pPr>
        <w:pStyle w:val="Heading2"/>
      </w:pPr>
      <w:r>
        <w:t>Erwägungen</w:t>
      </w:r>
    </w:p>
    <w:p>
      <w:r>
        <w:rPr>
          <w:b/>
        </w:rPr>
        <w:t>E. 1.1</w:t>
      </w:r>
    </w:p>
    <w:p>
      <w:r>
        <w:t>La décision entreprise, rendue en procédure sommaire (art. 119 al. 3 CPC),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RAJ).![endif]&gt;![if&gt; L'art. 145 al. 1 let. c CPC prévoit que les délais légaux et les délais fixés judiciairement ne s'appliquent pas du 18 décembre au 2 janvier inclus. Cette suspension des délais ne s'applique pas à la procédure sommaire (art. 145 al. 2 let. b CPC). Cette exception de l'art. 145 al. 2 let. b CPC vaut également pour la procédure de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consid. 4 et 5, Colombini, Condensé de la jurisprudence fédérale et vaudoise relative à l'appel et au recours en matière civile, in JdT 2013 III p. 131 ss, 138).</w:t>
      </w:r>
    </w:p>
    <w:p>
      <w:r>
        <w:rPr>
          <w:b/>
        </w:rPr>
        <w:t>E. 1.2</w:t>
      </w:r>
    </w:p>
    <w:p>
      <w:r>
        <w:t>En l'espèce, la décision entreprise indique le délai de 10 jours pour former recours. Cependant, elle ne mentionne pas l'exception à la suspension des délais pendant les féries. La sanction de cette omission est l'application à la présente cause de la suspension des délais conformément à l'art. 145 al. 1 CPC. Il s'ensuit que le recours interjeté le 8 janvier 2018 contre la décision qui a été reçue par le recourant le 15 décembre 2017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Le Président du Tribunal civil est l'autorité compétente pour rendre les décisions en matière d'assistance juridique civile (art. 64 LOJ et art. 1 al. 1 RAJ). Le recourant considère que le Président du Tribunal civil n'est pas suffisamment indépendant et impartial pour statuer dans la mesure où sa décision prétend évaluer les chances de succès d'un appel contre une de ses propres décisions. Cet argument est doublement infondé. D'une part, le jugement du 6 octobre 2017 n'a été rendu ni par le Président du Tribunal civil, ni par le Vice-président du même Tribunal qui, sur délégation, a rendu la décision contestée de refus d'assistance juridique. D'autre part, l'art. 47 al. 2 let. a CPC précise que la participation à une procédure d'octroi d'assistance judiciaire ne constitue pas à elle seule un motif de récusation pour statuer sur le fond. Il doit en aller de même de la situation inverse, dans laquelle le juge du fond rend une décision dans la procédure d'octroi de l'assistance judiciaire.</w:t>
      </w:r>
    </w:p>
    <w:p>
      <w:r>
        <w:rPr>
          <w:b/>
        </w:rPr>
        <w:t>E. 4</w:t>
      </w:r>
    </w:p>
    <w:p>
      <w:r>
        <w:t>Le recourant reproche au premier juge de ne pas avoir statué dans un délai raisonnable.</w:t>
      </w:r>
    </w:p>
    <w:p>
      <w:r>
        <w:rPr>
          <w:b/>
        </w:rPr>
        <w:t>E. 4.1</w:t>
      </w:r>
    </w:p>
    <w:p>
      <w:r>
        <w:t>L'art. 29 al. 1 Cst. garantit notamment à toute personne, dans une procédure judiciaire ou administrative, le droit à ce que sa cause soit traitée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119 Ib 311 consid. 5 et les références citées). Pour déterminer la durée du délai raisonnable, il y a lieu de se fonder sur des éléments objectifs (Donzallaz, Loi sur le Tribunal fédéral, Commentaire, n. 3416 p. 1269). Doivent notamment être pris en compte le degré de complexité de la procédure, le temps qu'exige son instruction, le comportement de l'intéressé et des autorités, ainsi que l'urgence de l'affaire (Aubert/Mahon, Petit commentaire de la Constitution fédérale de la Confédération suisse du 18 avril 1999, n. 4 p. 265/266).</w:t>
      </w:r>
    </w:p>
    <w:p>
      <w:r>
        <w:rPr>
          <w:b/>
        </w:rPr>
        <w:t>E. 4.2</w:t>
      </w:r>
    </w:p>
    <w:p>
      <w:r>
        <w:t>En l'espèce, le Vice-président du Tribunal civil a rendu sa décision le 30 novembre 2017. Il a été saisi de la requête d'assistance juridique le 1 er novembre 2017, alors que le recourant a reçu la décision du Tribunal de première instance le 16 octobre 2017. Le premier juge n'a été en possession de tous les éléments nécessaires pour statuer et informé du délai imparti au recourant pour recourir contre la décision du Tribunal que le 10 novembre 2017. Le délai de 20 jours que le Vice-président a mis pour statuer ne paraît pas incompatible avec les impératifs de célérité imposés par la procédure sommaire et par l'art. 29 al. 1 Cst. dès lors que si le recourant avait déposé une requête complète avant le 20 octobre 2017, il aurait pu recevoir une décision avant le 15 novembre 2017. A cela s'ajoute que le recourant a obtenu la décision sollicitée de sorte qu'il a perdu tout intérêt à ce qu'il soit constaté que le premier juge a tardé à statuer. Il n'a d'ailleurs pris à cet égard que des conclusions en constatation. Par conséquent, le recourant sera débouté de ses conclusions sur ce point.</w:t>
      </w:r>
    </w:p>
    <w:p>
      <w:r>
        <w:rPr>
          <w:b/>
        </w:rPr>
        <w:t>E. 5</w:t>
      </w:r>
    </w:p>
    <w:p>
      <w:r>
        <w:t>L'appelant reproche au Tribunal une violation de son droit d'être entendu pour n'avoir pas tenu compte de l'avis de droit de Me E______ et pour ne pas avoir examiné tous les arguments soulevés dans son acte d'appel.</w:t>
      </w:r>
    </w:p>
    <w:p>
      <w:r>
        <w:rPr>
          <w:b/>
        </w:rPr>
        <w:t>E. 5.1</w:t>
      </w:r>
    </w:p>
    <w:p>
      <w:r>
        <w:t>Le droit d'être entendu garanti par l'art. 29 al. 2 Cst. implique, en particulier,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(ATF 135 III 670 consid. 3.3.1; 133 III 235 consid. 5.2; arrêts du Tribunal fédéral 5A_807/2012 du 6 février 2013 consid. 4.2.1 et 4A_217/2016 du 19 janvier 2017 consid. 3.1). La violation du droit d'être entendu peut être réparée lorsque la partie lésée a la possibilité de s'exprimer devant une autorité de recours jouissant d'un plein pouvoir d'examen (arrêt du Tribunal fédéral 5A_925/2015 du 4 mars 2016 consid. 2.3.3.2 non publié in ATF 142 III 195 ).</w:t>
      </w:r>
    </w:p>
    <w:p>
      <w:r>
        <w:rPr>
          <w:b/>
        </w:rPr>
        <w:t>E. 5.2</w:t>
      </w:r>
    </w:p>
    <w:p>
      <w:r>
        <w:t>En l'espèce, contrairement à ce que fait valoir le recourant, le courrier de Me E______ ne constituait pas un avis de droit puisque le recourant lui avait simplement délégué la tâche de répondre à sa place au greffe de l'assistance juridique. A cela s'ajoute que le premier juge n'a pas ignoré les arguments mis en avant par le recourant dans son appel mais a considéré - certes sans développement - que la décision du Tribunal de retenir que le recourant n'avait qu'une créance contre la société était - a priori - conforme à la jurisprudence du Tribunal fédéral et que les avoirs avaient été mélangés pour le surplus. Cette motivation, quand bien même elle ne répondrait pas exhaustivement à tous les arguments invoqués par l'appelant, apparaît suffisante. En tout état de cause, le recourant invoquant une violation du droit, l'autorité de céans reverra ce point avec un plein pouvoir d'examen.</w:t>
      </w:r>
    </w:p>
    <w:p>
      <w:r>
        <w:rPr>
          <w:b/>
        </w:rPr>
        <w:t>E. 6</w:t>
      </w:r>
    </w:p>
    <w:p>
      <w:r>
        <w:t>Le recourant reproche au premier juge de ne pas avoir retenu qu'il avait des chances de voir son appel aboutir. Il se prévaut de l'inapplication injustifiée de l'art. 401 CO et, subsidiairement, de l'application injustifiée de l'art. 727 CC par le Tribunal. 6.1.1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6.1.2 Le mandat est un contrat par lequel le mandataire s'oblige, dans les termes de la convention, à gérer l'affaire dont il s'est chargée ou à rendre les services qu'il a promis (art. 394 CO). Lorsque le mandataire acquiert en son propre nom, pour le compte du mandant, des créances contre des tiers, ces créances deviennent la propriété du mandant dès que celui-ci a satisfait, de son côté, à ses diverses obligations envers le mandataire (art. 401 al. 1 CO). 6.1.3 Le tribunal établit sa conviction par une libre appréciation des preuves administrées (art. 157 CPC). Les moyens de preuves sont le témoignage, les titres, l'inspection, l'expertise, les renseignements écrits ainsi que l'interrogatoire et la déposition des parties (art. 168 al. 1 CPC). En raison de la « partialité de leur auteur », la force probante des dépositions des parties est « faible » et elles « doivent être corroborées par un autre moyen de preuve » (Message du Conseil fédéral relatif au code de procédure civile suisse (CPC) du 28 juin 2006, p. 6934 ; ATF 143 III 297 consid. 9.3.2). Les documents librement confectionnés par l'une des parties au procès sont sujets à caution et n'ont a priori pas plus de valeur que de simples allégations de cette partie (arrêt du Tribunal fédéral 4A_578/2011 du 12 janvier 2012 consid. 4). 6.1.4 Lorsque des choses appartenant à divers propriétaires ont été mélangées ou unies de telle sorte qu'il n'est plus possible de les séparer sans détérioration notable, ou qu'au prix d'un travail et de frais excessifs, les intéressés deviennent copropriétaires de la chose nouvelle en raison de la valeur qu'avaient ses parties au moment du mélange ou de l'adjonction (art. 727 al. 1 CC). 6.2.1 En l'espèce, le recourant fait valoir que la créance de la société envers D______ SA lui appartient en application de l'art. 401 CO, cette créance ayant été acquise par la société pour lui-même dans le cadre du contrat de mandat de gestion. Ses allégations ne reposent toutefois que sur des documents qu'il a lui-même établis, soit un contrat de mandat qu'il a signé en tant que client et en qualité représentant de la société ainsi qu'un courrier qu'il a signé où il confirme que l'argent lui appartient. De par leur origine, la force probante de ces deux documents sera, a priori , considéré par l'instance d'appel comme très faible, voire inexistante. Le seul autre document tendant à prouver que les fonds litigieux appartiennent au recourant est le relevé de compte attestant du versement des fonds le 31 décembre 2015. Or, la mention " ______ " (" raison économies ") qui justifie le virement de l'argent ne permet, à première vue, pas de retenir qu'il a été effectué dans le cadre d'un éventuel mandat. Cet argent n'a d'ailleurs, contrairement aux allégués du recourant, pas été investi. Il semble plutôt que le recourant ait voulu mettre cet argent à l'abri pour des raisons qui lui sont propres. Partant, il est prima facie peu vraisemblable que la Cour tienne pour établi que le recourant a conclu un contrat de mandat avec la société et, par conséquent, admette l'application de l'art. 401 al. 1 CO. 6.2.2 Par ailleurs, ce n'est que dans l'hypothèse, difficilement imaginable, que l'on puisse retenir que les biens séquestrés constitueraient des montants en espèces, que le Tribunal a considéré que les montants déposés par le recourant auraient été mélangés avec ceux de la société. Dans ce cas de figure, le compte litigieux présentait un solde de GBP 76'695.95 après réception des fonds (GBP 54'160.27) versés par le recourant. Cela signifie que d'autres avoirs étaient déjà présents sur ce compte. Les deux sommes se sont ainsi, à première vue, mélangées. L'attestation établie le 14 novembre 2017 pour les besoins de la cause par le recourant au nom de la société en faveur de lui-même, soit postérieurement au prononcé du jugement litigieux, ne sera, vraisemblablement, pas recevable dès lors que celle-ci aurait pu être établie avant que le Tribunal ne garde la cause à juger. A cela s'ajoute que ce document sera a priori considéré n'être que faiblement probant puisqu'il a été établi par le recourant dans son propre intérêt. Enfin, il résulte de ce document que la différence entre les GBP 54'160.27 et les GBP 76'695.95 présents sur le compte consiste dans des « remboursements de frais professionnels » appartenant au recourant dans le cadre de son contrat avec la société. Cela signifierait donc que, contrairement à ce que plaide le recourant, le compte litigieux ne servait pas uniquement au dépôt d'argent que les clients voulaient investir mais également à faire fonctionner la société. Il y aurait donc bien eu mélange avec les avoirs de la société. 6.2.3 Au vu de ce qui précède, il semble que l'appel du recourant n'ait que peu de chances de succès de sorte que le présent recours sera rejeté.</w:t>
      </w:r>
    </w:p>
    <w:p>
      <w:r>
        <w:rPr>
          <w:b/>
        </w:rPr>
        <w:t>E. 7</w:t>
      </w:r>
    </w:p>
    <w:p>
      <w:r>
        <w:t>Sauf exceptions non réalisées en l'espèce, il n'est pas perçu de frais judiciaires pour la procédure d'assistance juridique (art. 119 al. 6 CPC). * * * * * PAR CES MOTIFS, LE VICE-PRÉSIDENT DE LA COUR : Préalablement : Ordonne l'apport de la procédure C/______/2016. A la forme : Déclare recevable le recours formé le 8 janvier 2018 par A______ contre la décision rendue le 30 novembre 2017 par la Vice-présidente du Tribunal civil dans la cause AC/3371/2017.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