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AC/3344/2020 vom 14. Dezember 2020</w:t>
      </w:r>
    </w:p>
    <w:p>
      <w:r>
        <w:t>GE Cour de justice, 2020-12-14, FR</w:t>
      </w:r>
    </w:p>
    <w:p>
      <w:r>
        <w:rPr>
          <w:b/>
        </w:rPr>
        <w:t xml:space="preserve">Quelle: </w:t>
      </w:r>
      <w:r>
        <w:t>https://mcp.opencaselaw.ch/entscheid/ge_gerichte_AC_3344_2020</w:t>
      </w:r>
    </w:p>
    <w:p>
      <w:r>
        <w:t>FR: GE_GERICHTE AC/3344/2020 du 14 décembre 2020</w:t>
      </w:r>
    </w:p>
    <w:p>
      <w:r>
        <w:t>IT: GE_GERICHTE AC/3344/2020 del 14 dicembre 2020</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et les pièces nouvelles ne seront pas pris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 du Tribunal fédéral 4D_19/2016 du 11 avril 2016 consid. 4.1). Il incombe au requérant d'indiquer de manière complète et d'établir autant que faire se peut ses revenus, sa situation de fortune et ses charges (art. 119 al. 2 CPC et 7 al. 2 RAJ; ATF 135 I 221 consid. 5.1; arrêt du Tribunal fédéral 2C_585/2015 du 30 novembre 2015 consid. 5). Seules les charges réellement acquittées sont susceptibles d'entrer dans le calcul du minimum vital (ATF 135 I 221 consid. 5.1; arrêt du Tribunal fédéral 4D_19/2016 précité consid. 4.1). Les dettes anciennes, pour lesquelles le débiteur ne verse plus rien, n'entrent pas en ligne de compte (ATF 135 I 221 consid. 5.1).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141 III 369 consid. 4.1; 135 I 221 consid. 5.1).</w:t>
      </w:r>
    </w:p>
    <w:p>
      <w:r>
        <w:rPr>
          <w:b/>
        </w:rPr>
        <w:t>E. 3.2</w:t>
      </w:r>
    </w:p>
    <w:p>
      <w:r>
        <w:t>En l'espèce, le recourant reproche à l'autorité précédente d'avoir omis de tenir compte de ses charges d'assurance-maladie, ainsi que de ses impôts et de la redevance de radio et télévision. Il estime aussi que l'autorité précédente devait tenir compte des charges de sa fille, soit celles correspondant à l'assurance maladie de celle-ci, les transports et le montant de base LP. Les griefs du recourant sont infondés pour deux raisons. En premier lieu, les charges de sa fille ont été prises en compte par l'autorité précédente, à savoir le montant de base LP de celle-ci et ses frais de transports, montants qu'il ne remet pas en cause. En outre, les charges qu'il reproche à l'instance précédente de n'avoir pas prises en compte ne reposent sur aucune pièce figurant au dossier de première instance, mais uniquement sur des pièces nouvelles produites pour la première fois au stade du recours, qui sont donc irrecevables. Enfin, le recourant ne formule aucune critique contre le raisonnement de l'autorité de première instance, notamment quant à la quotité de ses revenus et de ses charges admises et quant à l'adéquation de ses moyens par rapport aux frais prévisibles de la procédure. Par conséquent, l'ordonnance entreprise sera confirmée.</w:t>
      </w:r>
    </w:p>
    <w:p>
      <w:r>
        <w:rPr>
          <w:b/>
        </w:rPr>
        <w:t>E. 4</w:t>
      </w:r>
    </w:p>
    <w:p>
      <w:r>
        <w:t>Sauf exceptions non réalisées en l'espèce, il n'est pas perçu de frais judiciaires pour la procédure d'assistance juridique (art. 119 al. 6 CPC). * * * * * PAR CES MOTIFS, LE VICE-PRÉSIDENT DE LA COUR : A la forme : Déclare recevable le recours formé par A______ contre la décision rendue le 14 décembre 2020 par la Vice-présidente du Tribunal de première instance dans la cause AC/3344/2020. Au fond : Le rejette. Déboute A______ de toutes autres conclusions. Dit qu'il n'est pas perçu de frais judiciaires pour le recours. Notifie une copie de la présente décision à A______ en l'Étude de Me Razi ABDERRAHIM (art. 137 CPC). Siégeant : Monsieur Patrick CHENAUX,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