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AC/3306/2024 vom 20. März 2025</w:t>
      </w:r>
    </w:p>
    <w:p>
      <w:r>
        <w:t>GE Cour de justice, 2025-03-20, FR</w:t>
      </w:r>
    </w:p>
    <w:p>
      <w:r>
        <w:rPr>
          <w:b/>
        </w:rPr>
        <w:t xml:space="preserve">Quelle: </w:t>
      </w:r>
      <w:r>
        <w:t>https://mcp.opencaselaw.ch/entscheid/ge_gerichte_AC_3306_2024</w:t>
      </w:r>
    </w:p>
    <w:p>
      <w:r>
        <w:t>FR: GE_GERICHTE AC/3306/2024 du 20 mars 2025</w:t>
      </w:r>
    </w:p>
    <w:p>
      <w:r>
        <w:t>IT: GE_GERICHTE AC/3306/2024 del 20 marzo 2025</w:t>
      </w:r>
    </w:p>
    <w:p>
      <w:pPr>
        <w:pStyle w:val="Heading2"/>
      </w:pPr>
      <w:r>
        <w:t>Erwägungen</w:t>
      </w:r>
    </w:p>
    <w:p>
      <w:r>
        <w:rPr>
          <w:b/>
        </w:rPr>
        <w:t>E. 1.1</w:t>
      </w:r>
    </w:p>
    <w:p>
      <w:r>
        <w:t>Les décisions de la vice-présidente du Tribunal de première instance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Aux termes de l'art. 326 al. 1 CPC, les allégations de faits et les preuves nouvelles sont irrecevables dans le cadre d'un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 ATF 143 V 19 consid. 1.2 et les références; 139 III 120 consid. 2.1.3 et la référence), à moins notamment qu'ils ne rendent sans objet le recours (ATF 137 III 614 consid. 3.2.1; arrêt du Tribunal fédéral 5A_332/2021 du 5 juillet 2022 consid. 2.4). Le Tribunal peut prendre d'office en considération les faits notoires, lesquels sont soustraits à l'interdiction des nova (arrêts du Tribunal fédéral 4A_339/2022 du 31 octobre 2024 consid. 6.4 destiné à la publication et les références citées).</w:t>
      </w:r>
    </w:p>
    <w:p>
      <w:r>
        <w:rPr>
          <w:b/>
        </w:rPr>
        <w:t>E. 2.2</w:t>
      </w:r>
    </w:p>
    <w:p>
      <w:r>
        <w:t>En l'espèce, la recourante a requis du Tribunal de protection la levée de sa curatelle, par requête du 11 mai 2024, reçue le 7 juin 2024 par cette juridiction, puis a sollicité, le 13 décembre 2024, l'octroi de l'assistance juridique à l'appui de cette procédure C/1______/2021. Or, l'ordonnance du Tribunal de protection DTAE/3128/2025 du 2 avril 2025 (C/1______/2021), quand bien même postérieure à la décision entreprise du 20 mars 2025, est recevable, d'une part, parce qu'il s'agit d'un fait connu de l'Autorité de recours, et, d'autre part, parce qu'elle permet de rendre sans objet le recours de la recourante. En effet, cette ordonnance du 2 avril 2025 a rejeté la requête de mainlevée de la curatelle de représentation et de gestion de la recourante et a confirmé la mesure instaurée. Par conséquent, la requête de la recourante sollicitant la désignation d'un avocat d'office à l'appui de la mainlevée de sa curatelle est devenue sans objet. Par conséquent, la cause sera rayée du rôle (art. 242 CPC) et point n'est besoin d'entrer en matière sur les griefs de la recourante. Pour le surplus, il convient de préciser que c'est avec raison que la vice-présidence du Tribunal civil a circonscrit l'assistance juridique à la prise en charge des frais judiciaires qui auraient pu être mis à la charge de la recourante dans le cadre de la procédure par-devant le Tribunal de protection, puisque selon le Dr H______, elle était apte à assurer " elle-même le suivi de ses affaires administratives, juridiques, financières, et santé et sociale ", de sorte qu'elle devait être en mesure d'exposer l'évolution de sa situation personnelle et financière par-devant le Tribunal de protection, avec le concours d'un interprète, ce d'autant plus que ses droits étaient garantis par l'obligation faite au Tribunal d'instruire d'office les faits et la faculté de pouvoir procéder, cas échéant, à toutes mesures probatoires utiles.</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7 avril 2025 par A______ contre la décision rendue le 20 mars 2025 par la vice-présidence du Tribunal civil dans la cause AC/3306/2024. Au fond : Constate que le recours est devenu sans objet. Raye la cause du rôle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